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36" w:rsidRPr="007C53A7" w:rsidRDefault="00A92943">
      <w:pPr>
        <w:pStyle w:val="ConsPlusNormal"/>
        <w:jc w:val="center"/>
        <w:outlineLvl w:val="0"/>
        <w:rPr>
          <w:b/>
          <w:bCs/>
        </w:rPr>
      </w:pPr>
      <w:r w:rsidRPr="007C53A7">
        <w:rPr>
          <w:b/>
          <w:bCs/>
        </w:rPr>
        <w:t>БАРНАУЛЬСКАЯ ГОРОДСКАЯ ДУМА</w:t>
      </w:r>
    </w:p>
    <w:p w:rsidR="004E6736" w:rsidRPr="007C53A7" w:rsidRDefault="004E6736">
      <w:pPr>
        <w:pStyle w:val="ConsPlusNormal"/>
        <w:jc w:val="center"/>
        <w:rPr>
          <w:b/>
          <w:bCs/>
        </w:rPr>
      </w:pPr>
    </w:p>
    <w:p w:rsidR="004E6736" w:rsidRPr="007C53A7" w:rsidRDefault="00A92943">
      <w:pPr>
        <w:pStyle w:val="ConsPlusNormal"/>
        <w:jc w:val="center"/>
        <w:rPr>
          <w:b/>
          <w:bCs/>
        </w:rPr>
      </w:pPr>
      <w:r w:rsidRPr="007C53A7">
        <w:rPr>
          <w:b/>
          <w:bCs/>
        </w:rPr>
        <w:t>РЕШЕНИЕ</w:t>
      </w:r>
    </w:p>
    <w:p w:rsidR="004E6736" w:rsidRPr="007C53A7" w:rsidRDefault="004E6736">
      <w:pPr>
        <w:pStyle w:val="ConsPlusNormal"/>
        <w:jc w:val="center"/>
        <w:rPr>
          <w:b/>
          <w:bCs/>
        </w:rPr>
      </w:pPr>
    </w:p>
    <w:p w:rsidR="004E6736" w:rsidRPr="007C53A7" w:rsidRDefault="00A92943">
      <w:pPr>
        <w:pStyle w:val="ConsPlusNormal"/>
        <w:jc w:val="center"/>
        <w:rPr>
          <w:b/>
          <w:bCs/>
        </w:rPr>
      </w:pPr>
      <w:proofErr w:type="gramStart"/>
      <w:r w:rsidRPr="007C53A7">
        <w:rPr>
          <w:b/>
          <w:bCs/>
        </w:rPr>
        <w:t>от</w:t>
      </w:r>
      <w:proofErr w:type="gramEnd"/>
      <w:r w:rsidRPr="007C53A7">
        <w:rPr>
          <w:b/>
          <w:bCs/>
        </w:rPr>
        <w:t xml:space="preserve"> 28 марта 2014 г. N 279</w:t>
      </w:r>
    </w:p>
    <w:p w:rsidR="004E6736" w:rsidRPr="007C53A7" w:rsidRDefault="004E6736">
      <w:pPr>
        <w:pStyle w:val="ConsPlusNormal"/>
        <w:jc w:val="center"/>
        <w:rPr>
          <w:b/>
          <w:bCs/>
        </w:rPr>
      </w:pPr>
    </w:p>
    <w:p w:rsidR="004E6736" w:rsidRPr="007C53A7" w:rsidRDefault="00A92943">
      <w:pPr>
        <w:pStyle w:val="ConsPlusNormal"/>
        <w:jc w:val="center"/>
        <w:rPr>
          <w:b/>
          <w:bCs/>
        </w:rPr>
      </w:pPr>
      <w:r w:rsidRPr="007C53A7">
        <w:rPr>
          <w:b/>
          <w:bCs/>
        </w:rPr>
        <w:t>О ВНЕСЕНИИ ИЗМЕНЕНИЙ И ДОПОЛНЕНИЙ В РЕШЕНИЕ ГОРОДСКОЙ ДУМЫ</w:t>
      </w:r>
    </w:p>
    <w:p w:rsidR="004E6736" w:rsidRPr="007C53A7" w:rsidRDefault="00A92943">
      <w:pPr>
        <w:pStyle w:val="ConsPlusNormal"/>
        <w:jc w:val="center"/>
        <w:rPr>
          <w:b/>
          <w:bCs/>
        </w:rPr>
      </w:pPr>
      <w:r w:rsidRPr="007C53A7">
        <w:rPr>
          <w:b/>
          <w:bCs/>
        </w:rPr>
        <w:t>ОТ 09.10.2012 N 834 "ОБ УТВЕРЖДЕНИИ ПРАВИЛ ЗЕМЛЕПОЛЬЗОВАНИЯ</w:t>
      </w:r>
    </w:p>
    <w:p w:rsidR="004E6736" w:rsidRPr="007C53A7" w:rsidRDefault="00A92943">
      <w:pPr>
        <w:pStyle w:val="ConsPlusNormal"/>
        <w:jc w:val="center"/>
        <w:rPr>
          <w:b/>
          <w:bCs/>
        </w:rPr>
      </w:pPr>
      <w:r w:rsidRPr="007C53A7">
        <w:rPr>
          <w:b/>
          <w:bCs/>
        </w:rPr>
        <w:t>И ЗАСТРОЙКИ ГОРОДСКОГО ОКРУГА - ГОРОДА БАРНАУЛА</w:t>
      </w:r>
    </w:p>
    <w:p w:rsidR="004E6736" w:rsidRPr="007C53A7" w:rsidRDefault="00A92943">
      <w:pPr>
        <w:pStyle w:val="ConsPlusNormal"/>
        <w:jc w:val="center"/>
        <w:rPr>
          <w:b/>
          <w:bCs/>
        </w:rPr>
      </w:pPr>
      <w:r w:rsidRPr="007C53A7">
        <w:rPr>
          <w:b/>
          <w:bCs/>
        </w:rPr>
        <w:t>АЛТАЙСКОГО КРАЯ" (В РЕД. ОТ 07.06.2013 N 111)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ind w:firstLine="540"/>
        <w:jc w:val="both"/>
      </w:pPr>
      <w:r w:rsidRPr="007C53A7">
        <w:t>В соответствии со статьей 33 Градостроительного кодекса Российской Федерации городская Дума решила: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 Внести следующие изменения и дополнения в Правила землепользования и застройки городского округа - города Барнаула Алтайского края, утвержденные решением городской Думы от 09.10.2012 N 834 (в ред. решения от 07.06.2013 N 111):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1.1. В статье 23: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1.1.1. Дополнить подпунктами 1.1 и 10.1 следующего содержания: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C53A7">
        <w:t>Росатом</w:t>
      </w:r>
      <w:proofErr w:type="spellEnd"/>
      <w:r w:rsidRPr="007C53A7"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10.1)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C53A7">
        <w:t>Росатом</w:t>
      </w:r>
      <w:proofErr w:type="spellEnd"/>
      <w:r w:rsidRPr="007C53A7"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числе, условия и порядок возмещения ущерба, причиненного указанному объекту при осуществлении реконструкции;";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1.1.2. Часть 13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"13. Продление срока действия разрешения на строительство осуществляется в порядке и по основаниям, предусмотренным частью 20 статьи 51 Градостроительного кодекса Российской Федерации.";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1.2. Пункт 7 статьи 26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1.3. В статье 32: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1.3.1. В части 3 слова "в комитет" заменить словами "в Комиссию, созданную в соответствии со статьей 10 настоящих Правил.";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1.3.2. Часть 4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1.3.3. Часть 5 считать частью 4;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1.4. В статье 33: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1.4.1. Часть 7 дополнить абзацами 3, 4 следующего содержания: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"Земельные участки предоставляются гражданам и юридическим лицам в собственность, аренду для целей, не связанных со строительством, за исключением земельных участков, предоставляемых для целей, указанных в пунктах 1 и 2.1 статьи 33 Земельного кодекса Российской Федерации, земельных участков предоставляемых для размещения нестационарных объектов, в размере - до 0,04 га.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Для размещения нестационарных объектов, за исключением нестационарных торговых объектов, земельные участки предоставляются гражданам и юридическим лицам в аренду в размере - до 0,0036 га.";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1.4.2. В части 9 после слов "для целей, связанных со строительством" добавить слова "и (или) эксплуатацией", слова "0,04 га" заменить словами "0,06 га";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1.5. В абзаце 11 части 4 статьи 36 слово "копии"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1.6. В статье 41: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1.6.1. Часть 10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1.6.2. Части 11 - 13 считать частями 10 - 12 соответственно;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1.7. В статье 45: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1.7.1. Пункт 1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"1) нестационарные торговые объекты;";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lastRenderedPageBreak/>
        <w:t>1.7.2. Пункты 5, 6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1.8. Часть 2 статьи 47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"2. В связи с установлением охранных и санитарно-защитных зон должны быть соблюдены ограничения прав на использование земельных участков.";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1.9. В статье 50: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1.9.1. Таблицу 1 части 1 дополнить пунктом 20 следующего содержания: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"20. Р.4 - зона зеленых насаждений специального назначения";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1.9.2. Пункты 20 - 27 считать пунктами 21 - 28 соответственно;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1.10. Таблицу 2 пункта 2 статьи 52 дополнить пунктами 8 - 11 следующего содержания:</w:t>
      </w:r>
    </w:p>
    <w:p w:rsidR="004E6736" w:rsidRPr="007C53A7" w:rsidRDefault="004E6736">
      <w:pPr>
        <w:pStyle w:val="ConsPlusNormal"/>
        <w:spacing w:before="160"/>
        <w:ind w:firstLine="540"/>
        <w:jc w:val="both"/>
        <w:sectPr w:rsidR="004E6736" w:rsidRPr="007C53A7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4E6736" w:rsidRPr="007C53A7" w:rsidRDefault="004E673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3458"/>
        <w:gridCol w:w="3402"/>
      </w:tblGrid>
      <w:tr w:rsidR="007C53A7" w:rsidRPr="007C5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r w:rsidRPr="007C53A7">
              <w:t>"8.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r w:rsidRPr="007C53A7">
              <w:t>Оползневая зона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proofErr w:type="gramStart"/>
            <w:r w:rsidRPr="007C53A7">
              <w:t>часть</w:t>
            </w:r>
            <w:proofErr w:type="gramEnd"/>
            <w:r w:rsidRPr="007C53A7">
              <w:t xml:space="preserve"> 4 статьи 1 Градостроительного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r w:rsidRPr="007C53A7">
              <w:t>Генеральный план городского округа - города Барнаула Алтайского края, утвержденный решением Барнаульской городской Думы от 26.02.2010 N 245;</w:t>
            </w:r>
          </w:p>
          <w:p w:rsidR="004E6736" w:rsidRPr="007C53A7" w:rsidRDefault="00A92943">
            <w:pPr>
              <w:pStyle w:val="ConsPlusNormal"/>
              <w:jc w:val="both"/>
            </w:pPr>
            <w:proofErr w:type="gramStart"/>
            <w:r w:rsidRPr="007C53A7">
              <w:t>решение</w:t>
            </w:r>
            <w:proofErr w:type="gramEnd"/>
            <w:r w:rsidRPr="007C53A7">
              <w:t xml:space="preserve"> Барнаульского городского Совета Народных депутатов от 09.04.1975 N 213</w:t>
            </w:r>
          </w:p>
        </w:tc>
      </w:tr>
      <w:tr w:rsidR="007C53A7" w:rsidRPr="007C5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r w:rsidRPr="007C53A7"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r w:rsidRPr="007C53A7">
              <w:t>Зона затопления паводком 1% обеспеченности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proofErr w:type="gramStart"/>
            <w:r w:rsidRPr="007C53A7">
              <w:t>статьи</w:t>
            </w:r>
            <w:proofErr w:type="gramEnd"/>
            <w:r w:rsidRPr="007C53A7">
              <w:t xml:space="preserve"> 67, 67.1 Водного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proofErr w:type="gramStart"/>
            <w:r w:rsidRPr="007C53A7">
              <w:t>статьи</w:t>
            </w:r>
            <w:proofErr w:type="gramEnd"/>
            <w:r w:rsidRPr="007C53A7">
              <w:t xml:space="preserve"> 67, 67.1 Водного кодекса Российской Федерации</w:t>
            </w:r>
          </w:p>
        </w:tc>
      </w:tr>
      <w:tr w:rsidR="007C53A7" w:rsidRPr="007C5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r w:rsidRPr="007C53A7"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r w:rsidRPr="007C53A7">
              <w:t>Охранные зоны магистральных трубопроводов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proofErr w:type="gramStart"/>
            <w:r w:rsidRPr="007C53A7">
              <w:t>пункт</w:t>
            </w:r>
            <w:proofErr w:type="gramEnd"/>
            <w:r w:rsidRPr="007C53A7">
              <w:t xml:space="preserve"> 6 статьи 90 Земельного кодекса Российской Федерации; статья 28 Федерального закона от 31.03.1999 N 69-ФЗ "О газоснабжении в Российской Федерации";</w:t>
            </w:r>
          </w:p>
          <w:p w:rsidR="004E6736" w:rsidRPr="007C53A7" w:rsidRDefault="00A92943">
            <w:pPr>
              <w:pStyle w:val="ConsPlusNormal"/>
              <w:jc w:val="both"/>
            </w:pPr>
            <w:r w:rsidRPr="007C53A7">
              <w:t>Раздел 4 "Охранные зоны" Правил охраны магистральных трубопроводов, утвержденных Министерством топлива и энергетики России 29.04.1992; Постановлением Госгортехнадзора России от 22.04.1992 N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proofErr w:type="gramStart"/>
            <w:r w:rsidRPr="007C53A7">
              <w:t>пункт</w:t>
            </w:r>
            <w:proofErr w:type="gramEnd"/>
            <w:r w:rsidRPr="007C53A7">
              <w:t xml:space="preserve"> 4.1 раздела 4 "Охранные зоны" Правил охраны магистральных трубопроводов, утвержденных Министерством топлива и энергетики России 29.04.1992;</w:t>
            </w:r>
          </w:p>
          <w:p w:rsidR="004E6736" w:rsidRPr="007C53A7" w:rsidRDefault="00A92943">
            <w:pPr>
              <w:pStyle w:val="ConsPlusNormal"/>
              <w:jc w:val="both"/>
            </w:pPr>
            <w:r w:rsidRPr="007C53A7">
              <w:t>Постановлением Госгортехнадзора России от 22.04.1992 N 9</w:t>
            </w:r>
          </w:p>
        </w:tc>
      </w:tr>
      <w:tr w:rsidR="007C53A7" w:rsidRPr="007C53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r w:rsidRPr="007C53A7">
              <w:t>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r w:rsidRPr="007C53A7">
              <w:t>Зона минимальных расстояний до объектов систем газоснабжения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proofErr w:type="gramStart"/>
            <w:r w:rsidRPr="007C53A7">
              <w:t>пункт</w:t>
            </w:r>
            <w:proofErr w:type="gramEnd"/>
            <w:r w:rsidRPr="007C53A7">
              <w:t xml:space="preserve"> 1 статьи 56 Земельного кодекса Российской Федерации; абзац 5 статьи 32 Федерального закона от 31.03.1999 N 69-ФЗ "О газоснабжении в Российской Федерации"; пункт 3.16 Строительных норм и правил "Магистральные трубопроводы" СНиП 2.05.06-85*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6" w:rsidRPr="007C53A7" w:rsidRDefault="00A92943">
            <w:pPr>
              <w:pStyle w:val="ConsPlusNormal"/>
              <w:jc w:val="both"/>
            </w:pPr>
            <w:proofErr w:type="gramStart"/>
            <w:r w:rsidRPr="007C53A7">
              <w:t>пункт</w:t>
            </w:r>
            <w:proofErr w:type="gramEnd"/>
            <w:r w:rsidRPr="007C53A7">
              <w:t xml:space="preserve"> 3.16 Строительных норм и правил "Магистральные трубопроводы" СНиП 2.05.06-85* от 01.01.1986";</w:t>
            </w:r>
          </w:p>
        </w:tc>
      </w:tr>
    </w:tbl>
    <w:p w:rsidR="004E6736" w:rsidRPr="007C53A7" w:rsidRDefault="004E6736">
      <w:pPr>
        <w:pStyle w:val="ConsPlusNormal"/>
        <w:jc w:val="both"/>
        <w:sectPr w:rsidR="004E6736" w:rsidRPr="007C53A7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ind w:firstLine="540"/>
        <w:jc w:val="both"/>
      </w:pPr>
      <w:r w:rsidRPr="007C53A7">
        <w:t>1.11. В статье 54: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1.11.1. В части 2 слова "указанных в части 4" заменить словами "указанных в частях 3 - 6";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1.11.2. В части 3 слова "водными объектами"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1.11.3. В пункте 3.1 части 3 слова "бассейны, малые архитектурные формы, площадки для национальных игр, игровые залы, бильярдные, помещения для игровых автоматов и компьютерных игр, интернет-кафе, дискотеки, тир, лоточная торговля, рекреационные помещения для отдыха, читальные залы, озеленение, малые архитектурные формы, хозяйственные корпуса, стоянки автомобилей" исключить; слова "участковые пункты милиции" заменить словами "участковые пункты полиции";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1.11.4. Пункт 4.1 части 4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"4.1. Назначение территории: зеленые насаждения, мемориальные комплексы, дендропарки, игровые площадки, фонтаны, летние театры и эстрады, общественные туалеты, киоски, временные павильоны розничной торговли, обслуживания и общественного питания.";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1.11.5. Пункт 5.1 части 5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"5.1. Назначение территории: участковые пункты полиции, киоски, временные павильоны розничной торговли по продаже и изготовлению ритуальных принадлежностей, резервуары для хранения воды, объекты пожарной охраны, общественные туалеты, аллеи, скверы.";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1.11.6. В пункте 6.1 части 6 слова "парковки", "пункты обслуживания пешеходов (нестационарные торговые объекты)"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1.12. Статью 55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"На Карте зон с особыми условиями использования территории города Барнаула отображаются следующие зоны с особыми условиями использования территории: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 xml:space="preserve">1) </w:t>
      </w:r>
      <w:proofErr w:type="spellStart"/>
      <w:r w:rsidRPr="007C53A7">
        <w:t>водоохранные</w:t>
      </w:r>
      <w:proofErr w:type="spellEnd"/>
      <w:r w:rsidRPr="007C53A7">
        <w:t xml:space="preserve"> зоны и прибрежных защитных полос;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2) зоны охраны объектов культурного наследия;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3) зоны особо охраняемых природных территорий;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4) санитарно-защитные зоны;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5) зоны санитарной охраны подземных источников питьевого и хозяйственно-бытового водоснабжения;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6) зоны охраняемых объектов;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7) зоны размещения военных объектов;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8) оползневая зона;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9) зона затопления паводком 1% обеспеченности;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10) охранные зоны магистральных трубопроводов;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11) зоны минимальных расстояний до объектов систем газоснабжения.";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1.13. В части 4 статьи 60 слова "линейные объекты" заменить словом "парковки";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1.14. Подпункт 30 пункта 1.1 части 1 статьи 61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"30) комплексное освоение в целях жилищного строительства;";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1.15. Подпункт 33 пункта 1.1 части 1 статьи 62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"33) комплексное освоение в целях жилищного строительства;";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1.16. В статье 63: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1.16.1. Подпункт 33 пункта 1.1 части 1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"33) комплексное освоение в целях жилищного строительства;";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1.16.2. Дополнить пунктом 35 следующего содержания: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"35) многоквартирные дома этажностью не более 3-х этажей.";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1.16.3. Подпункт 1 пункта 1.2 части 1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1.17. В статье 64: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1.17.1. Подпункт 32 пункта 1.1 части 1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"32) комплексное освоение в целях жилищного строительства;";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lastRenderedPageBreak/>
        <w:t>1.17.2. Подпункты 35, 36 пункта 1.1 части 1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1.17.3. Подпункт 3 пункта 2.4 части 2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1.18. В статье 65: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1.18.1. В подпункте 35 пункта 1.1 части 1 слова "наземные,"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1.18.2. Подпункт 43 пункта 1.1 части 1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"43) комплексное освоение в целях жилищного строительства;";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1.19. Подпункт 43 пункта 1.1 части 1 статьи 66, подпункт 27 пункта 1.1 части 1 статьи 67, подпункт 22 пункта 1.1 части 1 статьи 68, подпункт 15 пункта 1.1 части 1 статьи 69, подпункт 33 пункта 1.1 части 1 статьи 70, подпункт 38 пункта 1.1 части статьи 71, подпункт 39 пункта 1.1 статьи 72, подпункт 38 пункта 1.1 части статьи 73, подпункт 32 пункта 1.1 части 1 статьи 74, подпункт 44 пункта 1.1 части 1 статьи 75, подпункт 10 пункта 1.1 части статьи 77, подпункт 17 пункта 1.1 части 1 статьи 79, подпункт 17 пункта 1.1 части 1 статьи 80, подпункт 10 пункта 1.1 части 1 статьи 77, подпункты 4, 17 пункта 1.1 части 1 статьи 79, подпункт 17 пункта 1.1 части 1 статьи 80, подпункт 10 пункта 1.1 части статьи 81, подпункт 26 пункта 1.1 части 1 статьи 82, подпункт 19 пункта 1.1 части 1 статьи 83, подпункт 13 пункта 1.1 части 1 статьи 85, подпункт 10 пункта 1.1 части 1 статьи 86 исключить.</w:t>
      </w:r>
      <w:bookmarkStart w:id="0" w:name="_GoBack"/>
      <w:bookmarkEnd w:id="0"/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1.20. В статье 87: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1.20.1. Подпункт 14 пункта 1.1 части 1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"14) огороды.";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1.20.2. Подпункты 2, 3 пункта 1.2 части 1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1.20.3. Пункт 2.1 части 2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"2.1. Предельные (минимальные и (или) максимальные)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края, с учетом имеющегося землепользования и соблюдения положений статьи 20 Правил, за исключением земельных участков, предоставляемых гражданам в аренду для ведения огородничества.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Максимальный размер земельных участков, предоставляемых гражданам в аренду для ведения огородничества устанавливается до 0,04 га.";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1.21. В статье 88: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1.21.1. Подпункт 9 пункта 1.1 части 1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"9) огороды;";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1.21.2. Подпункты 1, 2 пункта 1.2 части 1 исключить;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1.21.3. Пункт 2.1 части 2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"2.1. Предельные (минимальные и (или) максимальные) размеры земельных участков для данной территориальной зоны устанавливаются в соответствии с нормативами градостроительного проектирования Алтайского края, с учетом имеющегося землепользования и соблюдения положений статьи 20 Правил, за исключением земельных участков, предоставляемых гражданам в аренду для ведения огородничества.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Максимальный размер земельных участков, предоставляемых гражданам в аренду для ведения огородничества, устанавливается до 0,04 га.";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1.22. Пункт 2.1 части 2 статей 61 - 75 дополнить абзацами следующего содержания: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"Предельные размеры земельных участков, предоставляемых гражданам в аренду для индивидуального жилищного строительства, в границах черты города Барнаула устанавливаются от 0,05 га до 0,10 га, с учетом рационального использования земель - до 0,15 га.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Предельные размеры земельных участков, предоставляемых гражданам в аренду для индивидуального жилищного строительства (под существующими жилыми домами), устанавливаются в рабочем поселке от 0,04 га до 0,20 га, в сельских населенных пунктах и поселках от 0,04 га до 0,35 га.";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1.23. Часть 3 в статьях 61 - 88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"3. Ограничения использования земельных участков и объектов капитального строительства.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территорий в соответствии с Картой зон с особыми условиями использования территории (приложение 2), в границах охранных зон, а также в границах зон минимальных расстояний,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Федерации, указанных в статье 90 настоящих Правил.";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1.24. Дополнить статьей 89 следующего содержания: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"Статья 89. Градостроительный регламент территориальной зоны зеленых насаждений специального назначения (Р.4.).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lastRenderedPageBreak/>
        <w:t>1. Виды разрешенного использования земельных участков: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1.1. Основные виды разрешенного использования: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1) защитные зеленые насаждения;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2) площадки для выгула собак;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3) зеленые насаждения общего пользования (объекты городского озеленения).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1.2. Условно разрешенные виды использования: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proofErr w:type="gramStart"/>
      <w:r w:rsidRPr="007C53A7">
        <w:t>условно</w:t>
      </w:r>
      <w:proofErr w:type="gramEnd"/>
      <w:r w:rsidRPr="007C53A7">
        <w:t xml:space="preserve"> разрешенных видов использования земельного участка и объектов капитального строительства в данной территориальной зоне не установлено.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1.3. Вспомогательные виды разрешенного использования: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1) объекты, технологически связанные с назначением основного вида использования;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2) объекты транспортной, инженерной инфраструктуры.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2. Предельные (минимальные и (или) максимальные) размеры земельных участков.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Предельные максимальные размеры земельных участков для данной территориальной зоны не установлены.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3. Ограничения использования земельных участков и объектов капитального строительства.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территорий в соответствии с Картой зон с особыми условиями использования территории (приложение 2), охранных зон и зон минимальных расстояний, использование земельного участка (его части) и объекта капитального строительства осуществляется с учетом ограничений, установленных законодательством Российской Федерации, указанных в статье 90 настоящих Правил.";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1.25. По тексту Правил статью 89 считать статьей 90;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1.26. В статье 90: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1.26.1. Часть 2 изложить в следующей редакции: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"2. Зона затопления паводком 1% обеспеченности.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В соответствии со статьей 67.1 Водного кодекса Российской Федерации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затопления, подтопления запрещается.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В границах зон затопления, подтопления запрещаются: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1) использование сточных вод в целях регулирования плодородия почв;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3) осуществление авиационных мер по борьбе с вредными организмами.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В зонах возможного затопления (при глубине затопления 1,5 м и более), не имеющих соответствующих сооружений инженерной защиты, размещение зданий, сооружений и коммуникаций инженерной и транспортной инфраструктур запрещается.";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1.26.2. Часть 3 дополнить абзацами 2, 3 следующего содержания: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 ансамблей, которые являются вновь выявленными объектами культурного наследия, решения о режиме содержания, параметрах реставрации, консервации, воссоздания, ремонта и приспособления которых принимается в порядке, установленном законодательством Российской Федерации об охране объектов культурного наследия.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Территории объектов культурного наследия (памятников истории и культуры) городского округа - города Барнаула и их временные границы установлены приказом государственного учреждения культуры "Научно-производственный центр по сохранению историко-культурного наследия Алтайского края" от 06.03.2000 N 10.";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1.26.3. Дополнить частями 9 - 11 следующего содержания: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"9. Охранные зоны магистральных трубопроводов.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Для исключения возможности повреждения трубопроводов (при любом виде их прокладки) использование земельных участков в границах охранных зон осуществляется в соответствии с Правилами охраны магистральных трубопроводов, утвержденными Министерством топлива и энергетики России 29.04.1992, Постановлением Госгортехнадзора России от 22.04.1992 N 9.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10. Зона минимальных расстояний до объектов систем газоснабжения.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Запрещается строительство зданий, строений и сооружений ближе установленных строительными нормами и правилами минимальных расстояний до объектов систем газоснабжения.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lastRenderedPageBreak/>
        <w:t>Вмешательство в работу систем газоснабжения уполномоченных на то юридических и физических лиц запрещается.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Материальный ущерб, нанесенный организации -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действий, возмещается в установленном порядке виновными лицами или принявшими противоправные решения лицами.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11. Оползневая зона.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 xml:space="preserve">В зонах отвалов породы горнодобывающих и </w:t>
      </w:r>
      <w:proofErr w:type="spellStart"/>
      <w:r w:rsidRPr="007C53A7">
        <w:t>горноперерабатывающих</w:t>
      </w:r>
      <w:proofErr w:type="spellEnd"/>
      <w:r w:rsidRPr="007C53A7">
        <w:t xml:space="preserve"> предприятий, в зонах возможного проявления оползней, селевых потоков и снежных лавин размещение зданий, сооружений и коммуникаций инженерной и транспортной инфраструктур запрещается.".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2. Приложения 1, 2 к Правилам изложить в новой редакции согласно приложениям 1, 2 к настоящему решению.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3. Пресс-центру (</w:t>
      </w:r>
      <w:proofErr w:type="spellStart"/>
      <w:r w:rsidRPr="007C53A7">
        <w:t>Павлинова</w:t>
      </w:r>
      <w:proofErr w:type="spellEnd"/>
      <w:r w:rsidRPr="007C53A7">
        <w:t xml:space="preserve"> Ю.С.) опубликовать решение в газете "Вечерний Барнаул" и разместить на официальном Интернет-сайте города Барнаула.</w:t>
      </w:r>
    </w:p>
    <w:p w:rsidR="004E6736" w:rsidRPr="007C53A7" w:rsidRDefault="00A92943">
      <w:pPr>
        <w:pStyle w:val="ConsPlusNormal"/>
        <w:spacing w:before="160"/>
        <w:ind w:firstLine="540"/>
        <w:jc w:val="both"/>
      </w:pPr>
      <w:r w:rsidRPr="007C53A7">
        <w:t>4. Контроль за исполнением решения возложить на комитет по экономической политике и собственности (</w:t>
      </w:r>
      <w:proofErr w:type="spellStart"/>
      <w:r w:rsidRPr="007C53A7">
        <w:t>Касплер</w:t>
      </w:r>
      <w:proofErr w:type="spellEnd"/>
      <w:r w:rsidRPr="007C53A7">
        <w:t xml:space="preserve"> В.В.).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jc w:val="right"/>
      </w:pPr>
      <w:r w:rsidRPr="007C53A7">
        <w:t>Глава города</w:t>
      </w:r>
    </w:p>
    <w:p w:rsidR="004E6736" w:rsidRPr="007C53A7" w:rsidRDefault="00A92943">
      <w:pPr>
        <w:pStyle w:val="ConsPlusNormal"/>
        <w:jc w:val="right"/>
      </w:pPr>
      <w:r w:rsidRPr="007C53A7">
        <w:t>Л.Н.ЗУБОВИЧ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jc w:val="right"/>
        <w:outlineLvl w:val="0"/>
      </w:pPr>
      <w:r w:rsidRPr="007C53A7">
        <w:t>Приложение 1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к</w:t>
      </w:r>
      <w:proofErr w:type="gramEnd"/>
      <w:r w:rsidRPr="007C53A7">
        <w:t xml:space="preserve"> Решению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городской</w:t>
      </w:r>
      <w:proofErr w:type="gramEnd"/>
      <w:r w:rsidRPr="007C53A7">
        <w:t xml:space="preserve"> Думы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от</w:t>
      </w:r>
      <w:proofErr w:type="gramEnd"/>
      <w:r w:rsidRPr="007C53A7">
        <w:t xml:space="preserve"> 28 марта 2014 г. N 279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jc w:val="right"/>
      </w:pPr>
      <w:r w:rsidRPr="007C53A7">
        <w:t>Приложение 1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к</w:t>
      </w:r>
      <w:proofErr w:type="gramEnd"/>
      <w:r w:rsidRPr="007C53A7">
        <w:t xml:space="preserve"> Правилам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землепользования</w:t>
      </w:r>
      <w:proofErr w:type="gramEnd"/>
      <w:r w:rsidRPr="007C53A7">
        <w:t xml:space="preserve"> и застройки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городского</w:t>
      </w:r>
      <w:proofErr w:type="gramEnd"/>
      <w:r w:rsidRPr="007C53A7">
        <w:t xml:space="preserve"> округа - города</w:t>
      </w:r>
    </w:p>
    <w:p w:rsidR="004E6736" w:rsidRPr="007C53A7" w:rsidRDefault="00A92943">
      <w:pPr>
        <w:pStyle w:val="ConsPlusNormal"/>
        <w:jc w:val="right"/>
      </w:pPr>
      <w:r w:rsidRPr="007C53A7">
        <w:t>Барнаула Алтайского края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jc w:val="center"/>
        <w:rPr>
          <w:b/>
          <w:bCs/>
        </w:rPr>
      </w:pPr>
      <w:bookmarkStart w:id="1" w:name="Par191"/>
      <w:bookmarkEnd w:id="1"/>
      <w:r w:rsidRPr="007C53A7">
        <w:rPr>
          <w:b/>
          <w:bCs/>
        </w:rPr>
        <w:t>КАРТА</w:t>
      </w:r>
    </w:p>
    <w:p w:rsidR="004E6736" w:rsidRPr="007C53A7" w:rsidRDefault="00A92943">
      <w:pPr>
        <w:pStyle w:val="ConsPlusNormal"/>
        <w:jc w:val="center"/>
        <w:rPr>
          <w:b/>
          <w:bCs/>
        </w:rPr>
      </w:pPr>
      <w:r w:rsidRPr="007C53A7">
        <w:rPr>
          <w:b/>
          <w:bCs/>
        </w:rPr>
        <w:t>ГРАДОСТРОИТЕЛЬНОГО ЗОНИРОВАНИЯ ГОРОДСКОГО</w:t>
      </w:r>
    </w:p>
    <w:p w:rsidR="004E6736" w:rsidRPr="007C53A7" w:rsidRDefault="00A92943">
      <w:pPr>
        <w:pStyle w:val="ConsPlusNormal"/>
        <w:jc w:val="center"/>
        <w:rPr>
          <w:b/>
          <w:bCs/>
        </w:rPr>
      </w:pPr>
      <w:r w:rsidRPr="007C53A7">
        <w:rPr>
          <w:b/>
          <w:bCs/>
        </w:rPr>
        <w:t>ОКРУГА - ГОРОДА БАРНАУЛА АЛТАЙСКОГО КРАЯ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jc w:val="center"/>
      </w:pPr>
      <w:r w:rsidRPr="007C53A7">
        <w:t>Рисунок не приводится.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jc w:val="right"/>
        <w:outlineLvl w:val="0"/>
      </w:pPr>
      <w:r w:rsidRPr="007C53A7">
        <w:t>Приложение 2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к</w:t>
      </w:r>
      <w:proofErr w:type="gramEnd"/>
      <w:r w:rsidRPr="007C53A7">
        <w:t xml:space="preserve"> Решению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городской</w:t>
      </w:r>
      <w:proofErr w:type="gramEnd"/>
      <w:r w:rsidRPr="007C53A7">
        <w:t xml:space="preserve"> Думы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от</w:t>
      </w:r>
      <w:proofErr w:type="gramEnd"/>
      <w:r w:rsidRPr="007C53A7">
        <w:t xml:space="preserve"> 28 марта 2014 г. N 279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jc w:val="right"/>
      </w:pPr>
      <w:r w:rsidRPr="007C53A7">
        <w:t>Приложение 2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к</w:t>
      </w:r>
      <w:proofErr w:type="gramEnd"/>
      <w:r w:rsidRPr="007C53A7">
        <w:t xml:space="preserve"> Правилам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землепользования</w:t>
      </w:r>
      <w:proofErr w:type="gramEnd"/>
      <w:r w:rsidRPr="007C53A7">
        <w:t xml:space="preserve"> и застройки</w:t>
      </w:r>
    </w:p>
    <w:p w:rsidR="004E6736" w:rsidRPr="007C53A7" w:rsidRDefault="00A92943">
      <w:pPr>
        <w:pStyle w:val="ConsPlusNormal"/>
        <w:jc w:val="right"/>
      </w:pPr>
      <w:proofErr w:type="gramStart"/>
      <w:r w:rsidRPr="007C53A7">
        <w:t>городского</w:t>
      </w:r>
      <w:proofErr w:type="gramEnd"/>
      <w:r w:rsidRPr="007C53A7">
        <w:t xml:space="preserve"> округа - города</w:t>
      </w:r>
    </w:p>
    <w:p w:rsidR="004E6736" w:rsidRPr="007C53A7" w:rsidRDefault="00A92943">
      <w:pPr>
        <w:pStyle w:val="ConsPlusNormal"/>
        <w:jc w:val="right"/>
      </w:pPr>
      <w:r w:rsidRPr="007C53A7">
        <w:t>Барнаула Алтайского края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jc w:val="center"/>
        <w:rPr>
          <w:b/>
          <w:bCs/>
        </w:rPr>
      </w:pPr>
      <w:bookmarkStart w:id="2" w:name="Par212"/>
      <w:bookmarkEnd w:id="2"/>
      <w:r w:rsidRPr="007C53A7">
        <w:rPr>
          <w:b/>
          <w:bCs/>
        </w:rPr>
        <w:t>КАРТА</w:t>
      </w:r>
    </w:p>
    <w:p w:rsidR="004E6736" w:rsidRPr="007C53A7" w:rsidRDefault="00A92943">
      <w:pPr>
        <w:pStyle w:val="ConsPlusNormal"/>
        <w:jc w:val="center"/>
        <w:rPr>
          <w:b/>
          <w:bCs/>
        </w:rPr>
      </w:pPr>
      <w:r w:rsidRPr="007C53A7">
        <w:rPr>
          <w:b/>
          <w:bCs/>
        </w:rPr>
        <w:t>ЗОН С ОСОБЫМИ УСЛОВИЯМИ ИСПОЛЬЗОВАНИЯ ТЕРРИТОРИИ ГОРОДСКОГО</w:t>
      </w:r>
    </w:p>
    <w:p w:rsidR="004E6736" w:rsidRPr="007C53A7" w:rsidRDefault="00A92943">
      <w:pPr>
        <w:pStyle w:val="ConsPlusNormal"/>
        <w:jc w:val="center"/>
        <w:rPr>
          <w:b/>
          <w:bCs/>
        </w:rPr>
      </w:pPr>
      <w:r w:rsidRPr="007C53A7">
        <w:rPr>
          <w:b/>
          <w:bCs/>
        </w:rPr>
        <w:t>ОКРУГА - ГОРОДА БАРНАУЛА АЛТАЙСКОГО КРАЯ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A92943">
      <w:pPr>
        <w:pStyle w:val="ConsPlusNormal"/>
        <w:jc w:val="center"/>
      </w:pPr>
      <w:r w:rsidRPr="007C53A7">
        <w:t>Рисунок не приводится.</w:t>
      </w: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jc w:val="both"/>
      </w:pPr>
    </w:p>
    <w:p w:rsidR="004E6736" w:rsidRPr="007C53A7" w:rsidRDefault="004E6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6736" w:rsidRPr="007C53A7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3"/>
    <w:rsid w:val="004E6736"/>
    <w:rsid w:val="007C53A7"/>
    <w:rsid w:val="00A63553"/>
    <w:rsid w:val="00A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615D51-0F44-4993-AAFA-032B083F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2384</Words>
  <Characters>16028</Characters>
  <Application>Microsoft Office Word</Application>
  <DocSecurity>2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Барнаульской городской Думы от 28.03.2014 N 279"О внесении изменений и дополнений в решение городской Думы от 09.10.2012 N 834 "Об утверждении Правил землепользования и застройки городского округа - города Барнаула Алтайского края" (в ред. от 07.0</vt:lpstr>
    </vt:vector>
  </TitlesOfParts>
  <Company>КонсультантПлюс Версия 4017.00.21</Company>
  <LinksUpToDate>false</LinksUpToDate>
  <CharactersWithSpaces>18376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Барнаульской городской Думы от 28.03.2014 N 279"О внесении изменений и дополнений в решение городской Думы от 09.10.2012 N 834 "Об утверждении Правил землепользования и застройки городского округа - города Барнаула Алтайского края" (в ред. от 07.0</dc:title>
  <dc:subject/>
  <dc:creator>Сивенков Антон Алексеевич</dc:creator>
  <cp:keywords/>
  <dc:description/>
  <cp:lastModifiedBy>Сивенков Антон Алексеевич</cp:lastModifiedBy>
  <cp:revision>4</cp:revision>
  <dcterms:created xsi:type="dcterms:W3CDTF">2018-02-22T01:54:00Z</dcterms:created>
  <dcterms:modified xsi:type="dcterms:W3CDTF">2018-02-22T01:56:00Z</dcterms:modified>
</cp:coreProperties>
</file>