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A" w:rsidRDefault="0054173A" w:rsidP="0054173A">
      <w:pPr>
        <w:pStyle w:val="ConsPlusNonformat"/>
        <w:jc w:val="right"/>
      </w:pPr>
      <w:r>
        <w:t xml:space="preserve">                                             В </w:t>
      </w:r>
      <w:r>
        <w:t xml:space="preserve">комитет по строительству, архитектуре и развитию </w:t>
      </w:r>
      <w:proofErr w:type="spellStart"/>
      <w:r>
        <w:t>г</w:t>
      </w:r>
      <w:proofErr w:type="gramStart"/>
      <w:r>
        <w:t>.Б</w:t>
      </w:r>
      <w:proofErr w:type="gramEnd"/>
      <w:r>
        <w:t>арнаула</w:t>
      </w:r>
      <w:proofErr w:type="spellEnd"/>
    </w:p>
    <w:p w:rsidR="0054173A" w:rsidRDefault="0054173A" w:rsidP="0054173A">
      <w:pPr>
        <w:pStyle w:val="ConsPlusNonformat"/>
        <w:jc w:val="right"/>
      </w:pPr>
      <w:proofErr w:type="spellStart"/>
      <w:r>
        <w:t>А.А.Воробьеву</w:t>
      </w:r>
      <w:proofErr w:type="spellEnd"/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от застройщика _______________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(наименование застройщика,</w:t>
      </w:r>
      <w:proofErr w:type="gramEnd"/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Ф.И.О. руководителя)</w:t>
      </w:r>
      <w:proofErr w:type="gramEnd"/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Почтовый адрес, индекс: 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Адрес электронной почты: 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54173A" w:rsidRDefault="0054173A" w:rsidP="0054173A">
      <w:pPr>
        <w:pStyle w:val="ConsPlusNonformat"/>
        <w:jc w:val="right"/>
      </w:pPr>
      <w:r>
        <w:t xml:space="preserve">                                             Телефон: _____________________</w:t>
      </w:r>
    </w:p>
    <w:p w:rsidR="0054173A" w:rsidRDefault="0054173A" w:rsidP="0054173A">
      <w:pPr>
        <w:pStyle w:val="ConsPlusNonformat"/>
        <w:jc w:val="both"/>
      </w:pPr>
      <w:bookmarkStart w:id="0" w:name="_GoBack"/>
      <w:bookmarkEnd w:id="0"/>
    </w:p>
    <w:p w:rsidR="0054173A" w:rsidRDefault="0054173A" w:rsidP="0054173A">
      <w:pPr>
        <w:pStyle w:val="ConsPlusNonformat"/>
        <w:jc w:val="both"/>
      </w:pPr>
      <w:bookmarkStart w:id="1" w:name="P862"/>
      <w:bookmarkEnd w:id="1"/>
      <w:r>
        <w:t xml:space="preserve">                                заявление.</w:t>
      </w:r>
    </w:p>
    <w:p w:rsidR="0054173A" w:rsidRDefault="0054173A" w:rsidP="0054173A">
      <w:pPr>
        <w:pStyle w:val="ConsPlusNonformat"/>
        <w:jc w:val="both"/>
      </w:pPr>
    </w:p>
    <w:p w:rsidR="0054173A" w:rsidRDefault="0054173A" w:rsidP="0054173A">
      <w:pPr>
        <w:pStyle w:val="ConsPlusNonformat"/>
        <w:jc w:val="both"/>
      </w:pPr>
      <w:r>
        <w:t xml:space="preserve">    Прошу   выдать   разрешение   на   ввод   в  эксплуатацию  законченного</w:t>
      </w:r>
    </w:p>
    <w:p w:rsidR="0054173A" w:rsidRDefault="0054173A" w:rsidP="0054173A">
      <w:pPr>
        <w:pStyle w:val="ConsPlusNonformat"/>
        <w:jc w:val="both"/>
      </w:pPr>
      <w:r>
        <w:t>строительством 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__________________________________________________________________________,</w:t>
      </w:r>
    </w:p>
    <w:p w:rsidR="0054173A" w:rsidRDefault="0054173A" w:rsidP="0054173A">
      <w:pPr>
        <w:pStyle w:val="ConsPlusNonformat"/>
        <w:jc w:val="both"/>
      </w:pPr>
      <w:proofErr w:type="gramStart"/>
      <w:r>
        <w:t>(наименование объекта (этапа строительства) в соответствии с разрешением на</w:t>
      </w:r>
      <w:proofErr w:type="gramEnd"/>
    </w:p>
    <w:p w:rsidR="0054173A" w:rsidRDefault="0054173A" w:rsidP="0054173A">
      <w:pPr>
        <w:pStyle w:val="ConsPlusNonformat"/>
        <w:jc w:val="both"/>
      </w:pPr>
      <w:r>
        <w:t xml:space="preserve">                              строительство)</w:t>
      </w:r>
    </w:p>
    <w:p w:rsidR="0054173A" w:rsidRDefault="0054173A" w:rsidP="0054173A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 (местоположение): 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</w:p>
    <w:p w:rsidR="0054173A" w:rsidRDefault="0054173A" w:rsidP="0054173A">
      <w:pPr>
        <w:pStyle w:val="ConsPlusNonformat"/>
        <w:jc w:val="both"/>
      </w:pPr>
      <w:r>
        <w:t xml:space="preserve">              Сведения об объекте капитального строительства</w:t>
      </w:r>
    </w:p>
    <w:p w:rsidR="0054173A" w:rsidRDefault="0054173A" w:rsidP="00541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8"/>
        <w:gridCol w:w="1620"/>
        <w:gridCol w:w="1701"/>
        <w:gridCol w:w="1630"/>
      </w:tblGrid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4</w:t>
            </w:r>
          </w:p>
        </w:tc>
      </w:tr>
      <w:tr w:rsidR="0054173A" w:rsidTr="007E3AAC">
        <w:tc>
          <w:tcPr>
            <w:tcW w:w="9019" w:type="dxa"/>
            <w:gridSpan w:val="4"/>
          </w:tcPr>
          <w:p w:rsidR="0054173A" w:rsidRDefault="0054173A" w:rsidP="007E3AAC">
            <w:pPr>
              <w:pStyle w:val="ConsPlusNormal"/>
              <w:jc w:val="center"/>
              <w:outlineLvl w:val="3"/>
            </w:pPr>
            <w:r>
              <w:t>1. Общие показатели вводимого в эксплуатацию объекта</w:t>
            </w: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Строительный объем - всего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в том числе надземной части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Площадь встроенно-пристроенных помещений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Площадь нежилых помещений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зданий, сооружений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9019" w:type="dxa"/>
            <w:gridSpan w:val="4"/>
          </w:tcPr>
          <w:p w:rsidR="0054173A" w:rsidRDefault="0054173A" w:rsidP="007E3AAC">
            <w:pPr>
              <w:pStyle w:val="ConsPlusNormal"/>
              <w:jc w:val="center"/>
              <w:outlineLvl w:val="3"/>
            </w:pPr>
            <w:r>
              <w:t xml:space="preserve">2.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мест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помещений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Вместимость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этажей,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lastRenderedPageBreak/>
              <w:t>Эскалаторы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Иные показатели: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9019" w:type="dxa"/>
            <w:gridSpan w:val="4"/>
          </w:tcPr>
          <w:p w:rsidR="0054173A" w:rsidRDefault="0054173A" w:rsidP="007E3AAC">
            <w:pPr>
              <w:pStyle w:val="ConsPlusNormal"/>
              <w:jc w:val="center"/>
              <w:outlineLvl w:val="3"/>
            </w:pPr>
            <w:r>
              <w:t>3. Объекты производственного назначения</w:t>
            </w: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Тип объекта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Производительность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Иные показатели: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9019" w:type="dxa"/>
            <w:gridSpan w:val="4"/>
          </w:tcPr>
          <w:p w:rsidR="0054173A" w:rsidRDefault="0054173A" w:rsidP="007E3AAC">
            <w:pPr>
              <w:pStyle w:val="ConsPlusNormal"/>
              <w:jc w:val="center"/>
              <w:outlineLvl w:val="3"/>
            </w:pPr>
            <w:r>
              <w:t>4. Объекты жилищного строительства</w:t>
            </w: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этажей,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секций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Количество квартир/общая площадь, всего в том числе: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1-комнатные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2-комнатные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lastRenderedPageBreak/>
              <w:t>3-комнатные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4-комнатные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более чем 4-комнатные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Иные показатели: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9019" w:type="dxa"/>
            <w:gridSpan w:val="4"/>
          </w:tcPr>
          <w:p w:rsidR="0054173A" w:rsidRDefault="0054173A" w:rsidP="007E3AAC">
            <w:pPr>
              <w:pStyle w:val="ConsPlusNormal"/>
              <w:jc w:val="center"/>
              <w:outlineLvl w:val="3"/>
            </w:pPr>
            <w:r>
              <w:t>5. Линейные объекты</w:t>
            </w: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Категория (класс)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Протяженность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Иные показатели: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9019" w:type="dxa"/>
            <w:gridSpan w:val="4"/>
          </w:tcPr>
          <w:p w:rsidR="0054173A" w:rsidRDefault="0054173A" w:rsidP="007E3AAC">
            <w:pPr>
              <w:pStyle w:val="ConsPlusNormal"/>
              <w:jc w:val="center"/>
              <w:outlineLvl w:val="3"/>
            </w:pPr>
            <w:r>
              <w:t>6.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Удельный расход тепловой энергии на 1 кв. м площади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  <w:tr w:rsidR="0054173A" w:rsidTr="007E3AAC">
        <w:tc>
          <w:tcPr>
            <w:tcW w:w="4068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Заполнение световых проемов</w:t>
            </w:r>
          </w:p>
        </w:tc>
        <w:tc>
          <w:tcPr>
            <w:tcW w:w="1620" w:type="dxa"/>
          </w:tcPr>
          <w:p w:rsidR="0054173A" w:rsidRDefault="0054173A" w:rsidP="007E3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1630" w:type="dxa"/>
          </w:tcPr>
          <w:p w:rsidR="0054173A" w:rsidRDefault="0054173A" w:rsidP="007E3AAC">
            <w:pPr>
              <w:pStyle w:val="ConsPlusNormal"/>
            </w:pPr>
          </w:p>
        </w:tc>
      </w:tr>
    </w:tbl>
    <w:p w:rsidR="0054173A" w:rsidRDefault="0054173A" w:rsidP="0054173A">
      <w:pPr>
        <w:pStyle w:val="ConsPlusNormal"/>
        <w:jc w:val="both"/>
      </w:pPr>
    </w:p>
    <w:p w:rsidR="0054173A" w:rsidRDefault="0054173A" w:rsidP="0054173A">
      <w:pPr>
        <w:pStyle w:val="ConsPlusNonformat"/>
        <w:jc w:val="both"/>
      </w:pPr>
      <w:r>
        <w:t xml:space="preserve">    При этом сообщаю: объект (этап) закончен строительством и подготовлен </w:t>
      </w:r>
      <w:proofErr w:type="gramStart"/>
      <w:r>
        <w:t>к</w:t>
      </w:r>
      <w:proofErr w:type="gramEnd"/>
    </w:p>
    <w:p w:rsidR="0054173A" w:rsidRDefault="0054173A" w:rsidP="0054173A">
      <w:pPr>
        <w:pStyle w:val="ConsPlusNonformat"/>
        <w:jc w:val="both"/>
      </w:pPr>
      <w:r>
        <w:t>вводу в эксплуатацию.</w:t>
      </w:r>
    </w:p>
    <w:p w:rsidR="0054173A" w:rsidRDefault="0054173A" w:rsidP="0054173A">
      <w:pPr>
        <w:pStyle w:val="ConsPlusNonformat"/>
        <w:jc w:val="both"/>
      </w:pPr>
      <w:r>
        <w:t xml:space="preserve">    К настоящему заявлению прилагаются:</w:t>
      </w:r>
    </w:p>
    <w:p w:rsidR="0054173A" w:rsidRDefault="0054173A" w:rsidP="0054173A">
      <w:pPr>
        <w:pStyle w:val="ConsPlusNonformat"/>
        <w:jc w:val="both"/>
      </w:pPr>
      <w:proofErr w:type="gramStart"/>
      <w:r>
        <w:lastRenderedPageBreak/>
        <w:t xml:space="preserve">(перечень    необходимых    документов   перечислен    в  </w:t>
      </w:r>
      <w:hyperlink r:id="rId5" w:history="1">
        <w:r>
          <w:rPr>
            <w:color w:val="0000FF"/>
          </w:rPr>
          <w:t>части 3 статьи 55</w:t>
        </w:r>
      </w:hyperlink>
      <w:proofErr w:type="gramEnd"/>
    </w:p>
    <w:p w:rsidR="0054173A" w:rsidRDefault="0054173A" w:rsidP="0054173A">
      <w:pPr>
        <w:pStyle w:val="ConsPlusNonformat"/>
        <w:jc w:val="both"/>
      </w:pPr>
      <w:proofErr w:type="gramStart"/>
      <w:r>
        <w:t>Градостроительного кодекса Российской Федерации)</w:t>
      </w:r>
      <w:proofErr w:type="gramEnd"/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>___________________________________________________________________________</w:t>
      </w:r>
    </w:p>
    <w:p w:rsidR="0054173A" w:rsidRDefault="0054173A" w:rsidP="0054173A">
      <w:pPr>
        <w:pStyle w:val="ConsPlusNonformat"/>
        <w:jc w:val="both"/>
      </w:pPr>
      <w:r>
        <w:t xml:space="preserve">    Мне  разъяснено, что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</w:t>
      </w:r>
    </w:p>
    <w:p w:rsidR="0054173A" w:rsidRDefault="0054173A" w:rsidP="0054173A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54173A" w:rsidRDefault="0054173A" w:rsidP="0054173A">
      <w:pPr>
        <w:pStyle w:val="ConsPlusNonformat"/>
        <w:jc w:val="both"/>
      </w:pPr>
      <w:r>
        <w:t>услуг"   документы,   указанные   в  подразделе  7  раздела  II  Регламента</w:t>
      </w:r>
    </w:p>
    <w:p w:rsidR="0054173A" w:rsidRDefault="0054173A" w:rsidP="0054173A">
      <w:pPr>
        <w:pStyle w:val="ConsPlusNonformat"/>
        <w:jc w:val="both"/>
      </w:pPr>
      <w:r>
        <w:t>предоставления  муниципальной  услуги "Выдача разрешений на строительство и</w:t>
      </w:r>
    </w:p>
    <w:p w:rsidR="0054173A" w:rsidRDefault="0054173A" w:rsidP="0054173A">
      <w:pPr>
        <w:pStyle w:val="ConsPlusNonformat"/>
        <w:jc w:val="both"/>
      </w:pPr>
      <w:r>
        <w:t xml:space="preserve">ввод объектов капитального строительства в эксплуатацию", необязательны </w:t>
      </w:r>
      <w:proofErr w:type="gramStart"/>
      <w:r>
        <w:t>для</w:t>
      </w:r>
      <w:proofErr w:type="gramEnd"/>
    </w:p>
    <w:p w:rsidR="0054173A" w:rsidRDefault="0054173A" w:rsidP="0054173A">
      <w:pPr>
        <w:pStyle w:val="ConsPlusNonformat"/>
        <w:jc w:val="both"/>
      </w:pPr>
      <w:r>
        <w:t xml:space="preserve">предоставления  и  могут  быть  получены  органом  архитектуры по запросу </w:t>
      </w:r>
      <w:proofErr w:type="gramStart"/>
      <w:r>
        <w:t>в</w:t>
      </w:r>
      <w:proofErr w:type="gramEnd"/>
    </w:p>
    <w:p w:rsidR="0054173A" w:rsidRDefault="0054173A" w:rsidP="0054173A">
      <w:pPr>
        <w:pStyle w:val="ConsPlusNonformat"/>
        <w:jc w:val="both"/>
      </w:pPr>
      <w:proofErr w:type="gramStart"/>
      <w:r>
        <w:t>порядке межведомственного информационного взаимодействия (сделать отметку в</w:t>
      </w:r>
      <w:proofErr w:type="gramEnd"/>
    </w:p>
    <w:p w:rsidR="0054173A" w:rsidRDefault="0054173A" w:rsidP="0054173A">
      <w:pPr>
        <w:pStyle w:val="ConsPlusNonformat"/>
        <w:jc w:val="both"/>
      </w:pPr>
      <w:r>
        <w:t>поле слева от выбранного варианта):</w:t>
      </w:r>
    </w:p>
    <w:p w:rsidR="0054173A" w:rsidRDefault="0054173A" w:rsidP="00541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8277"/>
      </w:tblGrid>
      <w:tr w:rsidR="0054173A" w:rsidTr="007E3AAC">
        <w:tc>
          <w:tcPr>
            <w:tcW w:w="773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8277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не приобщаются к заявлению</w:t>
            </w:r>
          </w:p>
        </w:tc>
      </w:tr>
      <w:tr w:rsidR="0054173A" w:rsidTr="007E3AAC">
        <w:tc>
          <w:tcPr>
            <w:tcW w:w="773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8277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приобщаются к заявлению по собственной инициативе</w:t>
            </w:r>
          </w:p>
        </w:tc>
      </w:tr>
    </w:tbl>
    <w:p w:rsidR="0054173A" w:rsidRDefault="0054173A" w:rsidP="0054173A">
      <w:pPr>
        <w:pStyle w:val="ConsPlusNormal"/>
        <w:jc w:val="both"/>
      </w:pPr>
    </w:p>
    <w:p w:rsidR="0054173A" w:rsidRDefault="0054173A" w:rsidP="0054173A">
      <w:pPr>
        <w:pStyle w:val="ConsPlusNormal"/>
        <w:ind w:firstLine="540"/>
        <w:jc w:val="both"/>
      </w:pPr>
      <w:r>
        <w:t>Подтверждаю (сделать отметку в поле слева от выбранного варианта)</w:t>
      </w:r>
    </w:p>
    <w:p w:rsidR="0054173A" w:rsidRDefault="0054173A" w:rsidP="00541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3912"/>
      </w:tblGrid>
      <w:tr w:rsidR="0054173A" w:rsidTr="007E3AAC">
        <w:tc>
          <w:tcPr>
            <w:tcW w:w="704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4394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Заявители - граждане (физические лица)</w:t>
            </w:r>
          </w:p>
        </w:tc>
        <w:tc>
          <w:tcPr>
            <w:tcW w:w="3912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Свое согласие</w:t>
            </w:r>
          </w:p>
        </w:tc>
      </w:tr>
      <w:tr w:rsidR="0054173A" w:rsidTr="007E3AAC">
        <w:tc>
          <w:tcPr>
            <w:tcW w:w="704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4394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Заявитель - представитель, представитель юридического лица</w:t>
            </w:r>
          </w:p>
        </w:tc>
        <w:tc>
          <w:tcPr>
            <w:tcW w:w="3912" w:type="dxa"/>
          </w:tcPr>
          <w:p w:rsidR="0054173A" w:rsidRDefault="0054173A" w:rsidP="007E3AAC">
            <w:pPr>
              <w:pStyle w:val="ConsPlusNormal"/>
              <w:jc w:val="both"/>
            </w:pPr>
            <w:r>
              <w:t>Свое согласие, а также согласие представляемого мною лица</w:t>
            </w:r>
          </w:p>
        </w:tc>
      </w:tr>
    </w:tbl>
    <w:p w:rsidR="0054173A" w:rsidRDefault="0054173A" w:rsidP="0054173A">
      <w:pPr>
        <w:pStyle w:val="ConsPlusNormal"/>
        <w:jc w:val="both"/>
      </w:pPr>
    </w:p>
    <w:p w:rsidR="0054173A" w:rsidRDefault="0054173A" w:rsidP="0054173A">
      <w:pPr>
        <w:pStyle w:val="ConsPlusNormal"/>
        <w:ind w:firstLine="540"/>
        <w:jc w:val="both"/>
      </w:pPr>
      <w:r>
        <w:t xml:space="preserve">на обработку персональных данных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4173A" w:rsidRDefault="0054173A" w:rsidP="0054173A">
      <w:pPr>
        <w:pStyle w:val="ConsPlusNormal"/>
        <w:spacing w:before="200"/>
        <w:ind w:firstLine="540"/>
        <w:jc w:val="both"/>
      </w:pPr>
      <w:r>
        <w:t>Персональные данные предоставлены для обработки с целью предоставления муниципальной услуги "Выдача разрешений на строительство и ввод объектов капитального строительства в эксплуатацию".</w:t>
      </w:r>
    </w:p>
    <w:p w:rsidR="0054173A" w:rsidRDefault="0054173A" w:rsidP="0054173A">
      <w:pPr>
        <w:pStyle w:val="ConsPlusNormal"/>
        <w:spacing w:before="200"/>
        <w:ind w:firstLine="540"/>
        <w:jc w:val="both"/>
      </w:pPr>
      <w:proofErr w:type="gramStart"/>
      <w: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>
        <w:t xml:space="preserve"> Согласие на обработку персональных данных (далее - согласие) действует бессрочно.</w:t>
      </w:r>
    </w:p>
    <w:p w:rsidR="0054173A" w:rsidRDefault="0054173A" w:rsidP="0054173A">
      <w:pPr>
        <w:pStyle w:val="ConsPlusNormal"/>
        <w:spacing w:before="200"/>
        <w:ind w:firstLine="540"/>
        <w:jc w:val="both"/>
      </w:pPr>
      <w: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54173A" w:rsidRDefault="0054173A" w:rsidP="0054173A">
      <w:pPr>
        <w:pStyle w:val="ConsPlusNormal"/>
        <w:spacing w:before="200"/>
        <w:ind w:firstLine="540"/>
        <w:jc w:val="both"/>
      </w:pPr>
      <w:r>
        <w:t xml:space="preserve"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07.07.2003 N 126-ФЗ "О связи".</w:t>
      </w:r>
    </w:p>
    <w:p w:rsidR="0054173A" w:rsidRDefault="0054173A" w:rsidP="0054173A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54173A" w:rsidRDefault="0054173A" w:rsidP="00541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8277"/>
      </w:tblGrid>
      <w:tr w:rsidR="0054173A" w:rsidTr="007E3AAC">
        <w:tc>
          <w:tcPr>
            <w:tcW w:w="773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8277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54173A" w:rsidTr="007E3AAC">
        <w:tc>
          <w:tcPr>
            <w:tcW w:w="773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8277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54173A" w:rsidTr="007E3AAC">
        <w:tc>
          <w:tcPr>
            <w:tcW w:w="773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8277" w:type="dxa"/>
          </w:tcPr>
          <w:p w:rsidR="0054173A" w:rsidRDefault="0054173A" w:rsidP="007E3AAC">
            <w:pPr>
              <w:pStyle w:val="ConsPlusNormal"/>
              <w:jc w:val="both"/>
            </w:pPr>
            <w: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54173A" w:rsidTr="007E3AAC">
        <w:tc>
          <w:tcPr>
            <w:tcW w:w="773" w:type="dxa"/>
          </w:tcPr>
          <w:p w:rsidR="0054173A" w:rsidRDefault="0054173A" w:rsidP="007E3AAC">
            <w:pPr>
              <w:pStyle w:val="ConsPlusNormal"/>
            </w:pPr>
          </w:p>
        </w:tc>
        <w:tc>
          <w:tcPr>
            <w:tcW w:w="8277" w:type="dxa"/>
          </w:tcPr>
          <w:p w:rsidR="0054173A" w:rsidRDefault="0054173A" w:rsidP="007E3AAC">
            <w:pPr>
              <w:pStyle w:val="ConsPlusNormal"/>
              <w:jc w:val="both"/>
            </w:pPr>
            <w:r>
              <w:t xml:space="preserve">в виде электронного документа, который направляется органом, предоставляющим </w:t>
            </w:r>
            <w:r>
              <w:lastRenderedPageBreak/>
              <w:t>муниципальную услугу, 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54173A" w:rsidRDefault="0054173A" w:rsidP="0054173A">
      <w:pPr>
        <w:pStyle w:val="ConsPlusNormal"/>
        <w:jc w:val="both"/>
      </w:pPr>
    </w:p>
    <w:p w:rsidR="0054173A" w:rsidRDefault="0054173A" w:rsidP="0054173A">
      <w:pPr>
        <w:pStyle w:val="ConsPlusNonformat"/>
        <w:jc w:val="both"/>
      </w:pPr>
      <w:r>
        <w:t>"___" ___________ 20___ г.   ______________________________________________</w:t>
      </w:r>
    </w:p>
    <w:p w:rsidR="0054173A" w:rsidRDefault="0054173A" w:rsidP="0054173A">
      <w:pPr>
        <w:pStyle w:val="ConsPlusNonformat"/>
        <w:jc w:val="both"/>
      </w:pPr>
      <w:r>
        <w:t xml:space="preserve">      дата подачи            подпись заявителя     Ф.И.О. заявителя</w:t>
      </w:r>
    </w:p>
    <w:p w:rsidR="0054173A" w:rsidRDefault="0054173A" w:rsidP="0054173A">
      <w:pPr>
        <w:pStyle w:val="ConsPlusNonformat"/>
        <w:jc w:val="both"/>
      </w:pPr>
      <w:r>
        <w:t xml:space="preserve">     (направления)</w:t>
      </w:r>
    </w:p>
    <w:p w:rsidR="0054173A" w:rsidRDefault="0054173A" w:rsidP="0054173A">
      <w:pPr>
        <w:pStyle w:val="ConsPlusNonformat"/>
        <w:jc w:val="both"/>
      </w:pPr>
      <w:r>
        <w:t xml:space="preserve">       заявления</w:t>
      </w:r>
    </w:p>
    <w:p w:rsidR="0054173A" w:rsidRDefault="0054173A" w:rsidP="0054173A">
      <w:pPr>
        <w:pStyle w:val="ConsPlusNormal"/>
        <w:jc w:val="both"/>
      </w:pPr>
    </w:p>
    <w:p w:rsidR="0054173A" w:rsidRDefault="0054173A" w:rsidP="0054173A">
      <w:pPr>
        <w:pStyle w:val="ConsPlusNormal"/>
        <w:jc w:val="both"/>
      </w:pPr>
    </w:p>
    <w:p w:rsidR="0054173A" w:rsidRDefault="0054173A" w:rsidP="0054173A">
      <w:pPr>
        <w:pStyle w:val="ConsPlusNormal"/>
        <w:jc w:val="both"/>
      </w:pPr>
    </w:p>
    <w:p w:rsidR="00AD1B77" w:rsidRDefault="0054173A"/>
    <w:sectPr w:rsidR="00A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A"/>
    <w:rsid w:val="0054173A"/>
    <w:rsid w:val="00892A7F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1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31FD5CD67BA32B888D986F6FC0A4347C5100842523C6061D1ED460E195A903F38761EA3B18D5787EE8A1F35ZBt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31FD5CD67BA32B888D986F6FC0A4347C71401465E3C6061D1ED460E195A903F38761EA3B18D5787EE8A1F35ZBt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31FD5CD67BA32B888D986F6FC0A4347C513014D563C6061D1ED460E195A903F38761EA3B18D5787EE8A1F35ZBtFB" TargetMode="External"/><Relationship Id="rId5" Type="http://schemas.openxmlformats.org/officeDocument/2006/relationships/hyperlink" Target="consultantplus://offline/ref=71F31FD5CD67BA32B888D986F6FC0A4347C7150B42503C6061D1ED460E195A902D382E11A6B19803D7B4DD1235B6AFE7AEC71AAA51ZEt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Анна Александровна</dc:creator>
  <cp:lastModifiedBy>Подгорных Анна Александровна</cp:lastModifiedBy>
  <cp:revision>1</cp:revision>
  <dcterms:created xsi:type="dcterms:W3CDTF">2021-01-28T02:34:00Z</dcterms:created>
  <dcterms:modified xsi:type="dcterms:W3CDTF">2021-01-28T02:36:00Z</dcterms:modified>
</cp:coreProperties>
</file>