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9550C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A5904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9550CA" w:rsidRPr="009550CA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территории в границах</w:t>
      </w:r>
      <w:r w:rsidR="009550CA">
        <w:rPr>
          <w:rStyle w:val="selectorcontent"/>
          <w:sz w:val="28"/>
          <w:szCs w:val="28"/>
          <w:u w:val="single"/>
        </w:rPr>
        <w:t xml:space="preserve"> </w:t>
      </w:r>
      <w:r w:rsidR="009550CA" w:rsidRPr="009550CA">
        <w:rPr>
          <w:rStyle w:val="selectorcontent"/>
          <w:sz w:val="28"/>
          <w:szCs w:val="28"/>
          <w:u w:val="single"/>
        </w:rPr>
        <w:t xml:space="preserve">кадастрового квартала 22:63:040428, ограниченного улицей Молодежной, проспектом Красноармейским, улицей </w:t>
      </w:r>
      <w:proofErr w:type="spellStart"/>
      <w:r w:rsidR="009550CA" w:rsidRPr="009550CA">
        <w:rPr>
          <w:rStyle w:val="selectorcontent"/>
          <w:sz w:val="28"/>
          <w:szCs w:val="28"/>
          <w:u w:val="single"/>
        </w:rPr>
        <w:t>Папанинцев</w:t>
      </w:r>
      <w:proofErr w:type="spellEnd"/>
      <w:r w:rsidR="009550CA" w:rsidRPr="009550CA">
        <w:rPr>
          <w:rStyle w:val="selectorcontent"/>
          <w:sz w:val="28"/>
          <w:szCs w:val="28"/>
          <w:u w:val="single"/>
        </w:rPr>
        <w:t xml:space="preserve"> и проспектом Социалистическим </w:t>
      </w:r>
      <w:r w:rsidR="009550CA">
        <w:rPr>
          <w:rStyle w:val="selectorcontent"/>
          <w:sz w:val="28"/>
          <w:szCs w:val="28"/>
          <w:u w:val="single"/>
        </w:rPr>
        <w:t xml:space="preserve">               </w:t>
      </w:r>
      <w:r w:rsidR="009550CA" w:rsidRPr="009550CA">
        <w:rPr>
          <w:rStyle w:val="selectorcontent"/>
          <w:sz w:val="28"/>
          <w:szCs w:val="28"/>
          <w:u w:val="single"/>
        </w:rPr>
        <w:t xml:space="preserve">в </w:t>
      </w:r>
      <w:proofErr w:type="spellStart"/>
      <w:r w:rsidR="009550CA" w:rsidRPr="009550CA">
        <w:rPr>
          <w:rStyle w:val="selectorcontent"/>
          <w:sz w:val="28"/>
          <w:szCs w:val="28"/>
          <w:u w:val="single"/>
        </w:rPr>
        <w:t>г</w:t>
      </w:r>
      <w:proofErr w:type="gramStart"/>
      <w:r w:rsidR="009550CA" w:rsidRPr="009550CA">
        <w:rPr>
          <w:rStyle w:val="selectorcontent"/>
          <w:sz w:val="28"/>
          <w:szCs w:val="28"/>
          <w:u w:val="single"/>
        </w:rPr>
        <w:t>.Б</w:t>
      </w:r>
      <w:proofErr w:type="gramEnd"/>
      <w:r w:rsidR="009550CA" w:rsidRPr="009550CA">
        <w:rPr>
          <w:rStyle w:val="selectorcontent"/>
          <w:sz w:val="28"/>
          <w:szCs w:val="28"/>
          <w:u w:val="single"/>
        </w:rPr>
        <w:t>арнауле</w:t>
      </w:r>
      <w:proofErr w:type="spellEnd"/>
      <w:r w:rsidR="009550CA" w:rsidRPr="009550CA">
        <w:rPr>
          <w:rStyle w:val="selectorcontent"/>
          <w:sz w:val="28"/>
          <w:szCs w:val="28"/>
          <w:u w:val="single"/>
        </w:rPr>
        <w:t xml:space="preserve"> (квартал 288), в отношении земельного участка по адресу: </w:t>
      </w:r>
      <w:r w:rsidR="009550CA">
        <w:rPr>
          <w:rStyle w:val="selectorcontent"/>
          <w:sz w:val="28"/>
          <w:szCs w:val="28"/>
          <w:u w:val="single"/>
        </w:rPr>
        <w:t xml:space="preserve">             </w:t>
      </w:r>
      <w:r w:rsidR="009550CA" w:rsidRPr="009550CA">
        <w:rPr>
          <w:rStyle w:val="selectorcontent"/>
          <w:sz w:val="28"/>
          <w:szCs w:val="28"/>
          <w:u w:val="single"/>
        </w:rPr>
        <w:t>город Барнаул, улица Молодежная, 21а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9550CA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1D6D4A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A5904">
        <w:rPr>
          <w:sz w:val="28"/>
          <w:szCs w:val="28"/>
          <w:u w:val="single"/>
        </w:rPr>
        <w:t>1</w:t>
      </w:r>
      <w:r w:rsidR="009550CA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3A6404" w:rsidRPr="00EF7522" w:rsidTr="009550CA">
        <w:trPr>
          <w:trHeight w:val="360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106EC5">
        <w:trPr>
          <w:trHeight w:val="1004"/>
        </w:trPr>
        <w:tc>
          <w:tcPr>
            <w:tcW w:w="4253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550CA" w:rsidRPr="00EF7522" w:rsidTr="00106EC5">
        <w:tc>
          <w:tcPr>
            <w:tcW w:w="4253" w:type="dxa"/>
          </w:tcPr>
          <w:p w:rsidR="009550CA" w:rsidRPr="00050094" w:rsidRDefault="009550CA" w:rsidP="00C62B52">
            <w:pPr>
              <w:jc w:val="center"/>
              <w:rPr>
                <w:sz w:val="26"/>
                <w:szCs w:val="26"/>
              </w:rPr>
            </w:pPr>
            <w:bookmarkStart w:id="0" w:name="_GoBack" w:colFirst="1" w:colLast="1"/>
            <w:r>
              <w:rPr>
                <w:sz w:val="26"/>
                <w:szCs w:val="26"/>
              </w:rPr>
              <w:t xml:space="preserve">Собственники квартир, расположенных по адресам: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арнаул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>, 21, 23 (согласно прилагаемым спискам)</w:t>
            </w:r>
          </w:p>
          <w:p w:rsidR="009550CA" w:rsidRPr="00050094" w:rsidRDefault="009550CA" w:rsidP="00C62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06EC5" w:rsidRDefault="009550CA" w:rsidP="00106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Возведение жилого комплекса недопустимо, незаконно, нарушает этические и нравственные нормы, носит варварский характер по отношению к историческому наследию города, месту со своей самобытной историей, яв</w:t>
            </w:r>
            <w:r w:rsidR="00106EC5">
              <w:rPr>
                <w:sz w:val="26"/>
                <w:szCs w:val="26"/>
              </w:rPr>
              <w:t>ляющемуся культурной ценностью.</w:t>
            </w:r>
          </w:p>
          <w:p w:rsidR="009550CA" w:rsidRPr="00050094" w:rsidRDefault="009550CA" w:rsidP="00106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строительстве жилого комплекса будет нарушена инсоляция смежных жилых домов. Из-за небольшой площади образуемого земельного участка возникнет проблема с открытым паркингом. К предполагаемому жилищному комплексу отсутствует необходимый проезд, что является нарушением градостроительных норм. Размещение жилого комплекса повлечет вырубку зеленых насаждений, так необходимых в центре, где экологическая проблема наиболее актуальна, чем в других районах</w:t>
            </w:r>
            <w:r w:rsidR="00C62B5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из-за отсутствия места для расширения и возможности высаживать деревья и кустарники. </w:t>
            </w:r>
          </w:p>
        </w:tc>
      </w:tr>
      <w:tr w:rsidR="009550CA" w:rsidRPr="00EF7522" w:rsidTr="00106EC5">
        <w:tc>
          <w:tcPr>
            <w:tcW w:w="4253" w:type="dxa"/>
          </w:tcPr>
          <w:p w:rsidR="009550CA" w:rsidRDefault="009550CA" w:rsidP="00C62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«РИК Барнаульская крепость»</w:t>
            </w:r>
          </w:p>
        </w:tc>
        <w:tc>
          <w:tcPr>
            <w:tcW w:w="5670" w:type="dxa"/>
          </w:tcPr>
          <w:p w:rsidR="009550CA" w:rsidRDefault="009550CA" w:rsidP="00C62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земельного участка, подлежащего перераспределению, является достаточной для формирования самостоятельного земельного участка, что соответствует Правилам землепользования и застройки городского округа – города Барнаула Алтайского края. Площадь земельного участка позволяет </w:t>
            </w:r>
            <w:r>
              <w:rPr>
                <w:sz w:val="26"/>
                <w:szCs w:val="26"/>
              </w:rPr>
              <w:lastRenderedPageBreak/>
              <w:t>сформировать самостоятельный земельный участок, который может быть предметом аренды и обеспечивать арендные платежи в соответствующий бюджет, тогда как перераспределение предусматривает только единовременную выплату в размере 30% от кадастровой стоимости.</w:t>
            </w:r>
          </w:p>
          <w:p w:rsidR="00106EC5" w:rsidRDefault="00106EC5" w:rsidP="00C62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Перераспределение такого большого по площади земельного участка без проведения аукциона нарушает права лиц, которые хотели и могли бы получить права на указанный земельный участок путем проведения аукциона.</w:t>
            </w:r>
          </w:p>
        </w:tc>
      </w:tr>
      <w:tr w:rsidR="009550CA" w:rsidRPr="00EF7522" w:rsidTr="00106EC5">
        <w:tc>
          <w:tcPr>
            <w:tcW w:w="4253" w:type="dxa"/>
          </w:tcPr>
          <w:p w:rsidR="009550CA" w:rsidRDefault="009550CA" w:rsidP="00C62B5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Лейсле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5670" w:type="dxa"/>
          </w:tcPr>
          <w:p w:rsidR="009550CA" w:rsidRDefault="009550CA" w:rsidP="00C62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Категорически не согласна с тем, что на месте «РИК Барнаульская крепость» собираются строить дом. Это прекрасное место отдыха, которых не так много в центре города.</w:t>
            </w:r>
          </w:p>
        </w:tc>
      </w:tr>
      <w:tr w:rsidR="009550CA" w:rsidRPr="00EF7522" w:rsidTr="00106EC5">
        <w:tc>
          <w:tcPr>
            <w:tcW w:w="4253" w:type="dxa"/>
          </w:tcPr>
          <w:p w:rsidR="009550CA" w:rsidRDefault="009550CA" w:rsidP="00C62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Шабалина Н.А.</w:t>
            </w:r>
          </w:p>
        </w:tc>
        <w:tc>
          <w:tcPr>
            <w:tcW w:w="5670" w:type="dxa"/>
          </w:tcPr>
          <w:p w:rsidR="009550CA" w:rsidRDefault="009550CA" w:rsidP="00C62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строительства высотки по адресу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олодежная</w:t>
            </w:r>
            <w:proofErr w:type="spellEnd"/>
            <w:r>
              <w:rPr>
                <w:sz w:val="26"/>
                <w:szCs w:val="26"/>
              </w:rPr>
              <w:t xml:space="preserve">, 21а, так как будет нарушена инсоляция дома по адресу </w:t>
            </w: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>, 23. В случае строительства будет отсутствовать необходимый по ширине проезд к формируемому участку и парковочные места. Нарушится экология «зеленой» зоны.</w:t>
            </w:r>
          </w:p>
        </w:tc>
      </w:tr>
      <w:tr w:rsidR="009550CA" w:rsidRPr="00EF7522" w:rsidTr="00106EC5">
        <w:tc>
          <w:tcPr>
            <w:tcW w:w="4253" w:type="dxa"/>
          </w:tcPr>
          <w:p w:rsidR="009550CA" w:rsidRDefault="009550CA" w:rsidP="00C62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Молчанов Т.А.</w:t>
            </w:r>
          </w:p>
        </w:tc>
        <w:tc>
          <w:tcPr>
            <w:tcW w:w="5670" w:type="dxa"/>
          </w:tcPr>
          <w:p w:rsidR="009550CA" w:rsidRDefault="009550CA" w:rsidP="00C62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застройки по адресу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олодежная</w:t>
            </w:r>
            <w:proofErr w:type="spellEnd"/>
            <w:r>
              <w:rPr>
                <w:sz w:val="26"/>
                <w:szCs w:val="26"/>
              </w:rPr>
              <w:t xml:space="preserve">, 21а. Это место имеет историческое, культурное и экологическое значение для города. </w:t>
            </w:r>
          </w:p>
        </w:tc>
      </w:tr>
      <w:tr w:rsidR="009550CA" w:rsidRPr="00EF7522" w:rsidTr="00106EC5">
        <w:tc>
          <w:tcPr>
            <w:tcW w:w="4253" w:type="dxa"/>
          </w:tcPr>
          <w:p w:rsidR="009550CA" w:rsidRDefault="009550CA" w:rsidP="00C62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Шадрин Ю.В.</w:t>
            </w:r>
          </w:p>
        </w:tc>
        <w:tc>
          <w:tcPr>
            <w:tcW w:w="5670" w:type="dxa"/>
          </w:tcPr>
          <w:p w:rsidR="009550CA" w:rsidRDefault="009550CA" w:rsidP="00C62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внесения изменений в проект межевания в отношении земельного участка по адресу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олодежная</w:t>
            </w:r>
            <w:proofErr w:type="spellEnd"/>
            <w:r>
              <w:rPr>
                <w:sz w:val="26"/>
                <w:szCs w:val="26"/>
              </w:rPr>
              <w:t xml:space="preserve">, 21а. Строительство дополнительных жилых домов на земельном участке по адресу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олодежная</w:t>
            </w:r>
            <w:proofErr w:type="spellEnd"/>
            <w:r>
              <w:rPr>
                <w:sz w:val="26"/>
                <w:szCs w:val="26"/>
              </w:rPr>
              <w:t xml:space="preserve">, 21а, существенно ухудшит условия проживания. Нарушится инсоляция в </w:t>
            </w:r>
            <w:r w:rsidR="00106EC5">
              <w:rPr>
                <w:sz w:val="26"/>
                <w:szCs w:val="26"/>
              </w:rPr>
              <w:t xml:space="preserve">моей </w:t>
            </w:r>
            <w:r>
              <w:rPr>
                <w:sz w:val="26"/>
                <w:szCs w:val="26"/>
              </w:rPr>
              <w:t>квартире, увеличится нагрузка на инженерные сети, что приведет к ухудшению водоснабжения, водоотведения существующих соседних жилых домов, увеличит транспортную нагрузку на дороги, увеличит социальную нагрузку района, уменьшит жизненное пространство всех жителей, проживающих в данном квартале, разр</w:t>
            </w:r>
            <w:r w:rsidR="00C62B52">
              <w:rPr>
                <w:sz w:val="26"/>
                <w:szCs w:val="26"/>
              </w:rPr>
              <w:t xml:space="preserve">ушит стратегические резервуары </w:t>
            </w:r>
            <w:r>
              <w:rPr>
                <w:sz w:val="26"/>
                <w:szCs w:val="26"/>
              </w:rPr>
              <w:t>для хранения воды. Нарушится облик площади, где проходят массовые мероприятия. В процессе строительства возможны сдвиги грунтов, которые приведут к нарушению целостности прилегающих к строительству жилых домов.</w:t>
            </w:r>
          </w:p>
        </w:tc>
      </w:tr>
      <w:tr w:rsidR="009550CA" w:rsidRPr="00EF7522" w:rsidTr="00106EC5">
        <w:tc>
          <w:tcPr>
            <w:tcW w:w="4253" w:type="dxa"/>
          </w:tcPr>
          <w:p w:rsidR="009550CA" w:rsidRDefault="009550CA" w:rsidP="00C62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Шадрина О.А.</w:t>
            </w:r>
          </w:p>
        </w:tc>
        <w:tc>
          <w:tcPr>
            <w:tcW w:w="5670" w:type="dxa"/>
          </w:tcPr>
          <w:p w:rsidR="009550CA" w:rsidRDefault="00106EC5" w:rsidP="00D52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проектом не </w:t>
            </w:r>
            <w:proofErr w:type="gramStart"/>
            <w:r>
              <w:rPr>
                <w:sz w:val="26"/>
                <w:szCs w:val="26"/>
              </w:rPr>
              <w:t>согласна</w:t>
            </w:r>
            <w:proofErr w:type="gramEnd"/>
            <w:r>
              <w:rPr>
                <w:sz w:val="26"/>
                <w:szCs w:val="26"/>
              </w:rPr>
              <w:t xml:space="preserve">, прошу его отклонить, поскольку он нарушает мои права как </w:t>
            </w:r>
            <w:r>
              <w:rPr>
                <w:sz w:val="26"/>
                <w:szCs w:val="26"/>
              </w:rPr>
              <w:lastRenderedPageBreak/>
              <w:t xml:space="preserve">собственника смежного земельного участка, расположенного под многоквартирным домом. </w:t>
            </w:r>
            <w:r w:rsidR="009550CA">
              <w:rPr>
                <w:sz w:val="26"/>
                <w:szCs w:val="26"/>
              </w:rPr>
              <w:t xml:space="preserve">При проведении строительных работ по возведению жилого комплекса состояние дома по </w:t>
            </w:r>
            <w:proofErr w:type="spellStart"/>
            <w:r w:rsidR="009550CA">
              <w:rPr>
                <w:sz w:val="26"/>
                <w:szCs w:val="26"/>
              </w:rPr>
              <w:t>ул</w:t>
            </w:r>
            <w:proofErr w:type="gramStart"/>
            <w:r w:rsidR="009550CA">
              <w:rPr>
                <w:sz w:val="26"/>
                <w:szCs w:val="26"/>
              </w:rPr>
              <w:t>.М</w:t>
            </w:r>
            <w:proofErr w:type="gramEnd"/>
            <w:r w:rsidR="009550CA">
              <w:rPr>
                <w:sz w:val="26"/>
                <w:szCs w:val="26"/>
              </w:rPr>
              <w:t>олодежная</w:t>
            </w:r>
            <w:proofErr w:type="spellEnd"/>
            <w:r w:rsidR="009550CA">
              <w:rPr>
                <w:sz w:val="26"/>
                <w:szCs w:val="26"/>
              </w:rPr>
              <w:t>, 21 может значительно ухудшиться, может поползти грунт, что повлечет разрушение фундамента дома, что недопустимо и не</w:t>
            </w:r>
            <w:r w:rsidR="00D52B50">
              <w:rPr>
                <w:sz w:val="26"/>
                <w:szCs w:val="26"/>
              </w:rPr>
              <w:t>с</w:t>
            </w:r>
            <w:r w:rsidR="009550CA">
              <w:rPr>
                <w:sz w:val="26"/>
                <w:szCs w:val="26"/>
              </w:rPr>
              <w:t>ет ответственность заинтересованных лиц. Нарушится инсоляция, ухудшится экологическое состояние территории из-за вырубки зеленых насаждений, что негативным образом скажется на состоянии</w:t>
            </w:r>
            <w:r>
              <w:rPr>
                <w:sz w:val="26"/>
                <w:szCs w:val="26"/>
              </w:rPr>
              <w:t xml:space="preserve"> здоровья меня и моей</w:t>
            </w:r>
            <w:r w:rsidR="009550CA">
              <w:rPr>
                <w:sz w:val="26"/>
                <w:szCs w:val="26"/>
              </w:rPr>
              <w:t xml:space="preserve"> семьи. Многоэтажные дома на небольшой территории будут портить архитектурный ансамбль площади, исчезнет место для развлечений и празднований в городе. В сквере у дома по </w:t>
            </w:r>
            <w:proofErr w:type="spellStart"/>
            <w:r w:rsidR="009550CA">
              <w:rPr>
                <w:sz w:val="26"/>
                <w:szCs w:val="26"/>
              </w:rPr>
              <w:t>ул</w:t>
            </w:r>
            <w:proofErr w:type="gramStart"/>
            <w:r w:rsidR="009550CA">
              <w:rPr>
                <w:sz w:val="26"/>
                <w:szCs w:val="26"/>
              </w:rPr>
              <w:t>.М</w:t>
            </w:r>
            <w:proofErr w:type="gramEnd"/>
            <w:r w:rsidR="009550CA">
              <w:rPr>
                <w:sz w:val="26"/>
                <w:szCs w:val="26"/>
              </w:rPr>
              <w:t>олодежная</w:t>
            </w:r>
            <w:proofErr w:type="spellEnd"/>
            <w:r w:rsidR="009550CA">
              <w:rPr>
                <w:sz w:val="26"/>
                <w:szCs w:val="26"/>
              </w:rPr>
              <w:t>, 21 проводятся ежегодные ярмарки и мероприятия на день города, проведение которых будет невозможно. Необходимости в застройке указанной территории нет. Есть необходимость в благоустройстве площади под культурно-м</w:t>
            </w:r>
            <w:r w:rsidR="00D52B50">
              <w:rPr>
                <w:sz w:val="26"/>
                <w:szCs w:val="26"/>
              </w:rPr>
              <w:t>ассовые мероприятия и сохранении</w:t>
            </w:r>
            <w:r w:rsidR="009550CA">
              <w:rPr>
                <w:sz w:val="26"/>
                <w:szCs w:val="26"/>
              </w:rPr>
              <w:t xml:space="preserve"> зеленых насаждений. </w:t>
            </w:r>
          </w:p>
        </w:tc>
      </w:tr>
      <w:bookmarkEnd w:id="0"/>
      <w:tr w:rsidR="009550CA" w:rsidRPr="00EF7522" w:rsidTr="00106EC5">
        <w:tc>
          <w:tcPr>
            <w:tcW w:w="4253" w:type="dxa"/>
          </w:tcPr>
          <w:p w:rsidR="009550CA" w:rsidRDefault="009550CA" w:rsidP="00C62B5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Яргаева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5670" w:type="dxa"/>
          </w:tcPr>
          <w:p w:rsidR="009550CA" w:rsidRDefault="009550CA" w:rsidP="00106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внесения изменений в проект межевания в отношении земельного участка по адресу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олодежная</w:t>
            </w:r>
            <w:proofErr w:type="spellEnd"/>
            <w:r>
              <w:rPr>
                <w:sz w:val="26"/>
                <w:szCs w:val="26"/>
              </w:rPr>
              <w:t xml:space="preserve">, 21а. При строительстве новых домов рядом с домом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олодежная</w:t>
            </w:r>
            <w:proofErr w:type="spellEnd"/>
            <w:r>
              <w:rPr>
                <w:sz w:val="26"/>
                <w:szCs w:val="26"/>
              </w:rPr>
              <w:t xml:space="preserve">, 21, существенно ухудшатся условия проживания. При строительстве нарушится инсоляция, будут вырублены зеленые насаждения, появится много дополнительного автотранспорта, есть опасность повреждения дома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олодежная</w:t>
            </w:r>
            <w:proofErr w:type="spellEnd"/>
            <w:r>
              <w:rPr>
                <w:sz w:val="26"/>
                <w:szCs w:val="26"/>
              </w:rPr>
              <w:t>, 21. При строительстве будет работать тяжелая техника, которая нарушит мое самочувствие. Изменится исторически сложившийся облик города.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C07E7B" w:rsidRDefault="00D879C8" w:rsidP="0053339F">
      <w:pPr>
        <w:autoSpaceDE w:val="0"/>
        <w:autoSpaceDN w:val="0"/>
        <w:adjustRightInd w:val="0"/>
        <w:jc w:val="both"/>
        <w:rPr>
          <w:sz w:val="14"/>
          <w:szCs w:val="14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9550CA" w:rsidRPr="00AD3142">
        <w:rPr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22:63:040428, ограниченного улицей Молодежной, проспектом Красноармейским, улицей </w:t>
      </w:r>
      <w:proofErr w:type="spellStart"/>
      <w:r w:rsidR="009550CA" w:rsidRPr="00AD3142">
        <w:rPr>
          <w:color w:val="000000"/>
          <w:sz w:val="28"/>
          <w:szCs w:val="28"/>
          <w:u w:val="single"/>
        </w:rPr>
        <w:t>Папанинцев</w:t>
      </w:r>
      <w:proofErr w:type="spellEnd"/>
      <w:r w:rsidR="009550CA" w:rsidRPr="00AD3142">
        <w:rPr>
          <w:color w:val="000000"/>
          <w:sz w:val="28"/>
          <w:szCs w:val="28"/>
          <w:u w:val="single"/>
        </w:rPr>
        <w:t xml:space="preserve"> и проспектом Социалистическим в </w:t>
      </w:r>
      <w:proofErr w:type="spellStart"/>
      <w:r w:rsidR="009550CA" w:rsidRPr="00AD3142">
        <w:rPr>
          <w:color w:val="000000"/>
          <w:sz w:val="28"/>
          <w:szCs w:val="28"/>
          <w:u w:val="single"/>
        </w:rPr>
        <w:t>г</w:t>
      </w:r>
      <w:proofErr w:type="gramStart"/>
      <w:r w:rsidR="009550CA" w:rsidRPr="00AD3142">
        <w:rPr>
          <w:color w:val="000000"/>
          <w:sz w:val="28"/>
          <w:szCs w:val="28"/>
          <w:u w:val="single"/>
        </w:rPr>
        <w:t>.Б</w:t>
      </w:r>
      <w:proofErr w:type="gramEnd"/>
      <w:r w:rsidR="009550CA" w:rsidRPr="00AD3142">
        <w:rPr>
          <w:color w:val="000000"/>
          <w:sz w:val="28"/>
          <w:szCs w:val="28"/>
          <w:u w:val="single"/>
        </w:rPr>
        <w:t>арнауле</w:t>
      </w:r>
      <w:proofErr w:type="spellEnd"/>
      <w:r w:rsidR="009550CA" w:rsidRPr="00AD3142">
        <w:rPr>
          <w:color w:val="000000"/>
          <w:sz w:val="28"/>
          <w:szCs w:val="28"/>
          <w:u w:val="single"/>
        </w:rPr>
        <w:t xml:space="preserve"> (квартал 288), в отношении земельного участка по адресу: город Барнаул, улица Молодежная, 21а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9550CA" w:rsidRDefault="009550CA" w:rsidP="009550CA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И:</w:t>
      </w:r>
    </w:p>
    <w:p w:rsidR="009550CA" w:rsidRDefault="009550CA" w:rsidP="009550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 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и направить на доработку проект </w:t>
      </w:r>
    </w:p>
    <w:p w:rsidR="009550CA" w:rsidRPr="007777A6" w:rsidRDefault="009550CA" w:rsidP="009550CA">
      <w:pPr>
        <w:jc w:val="center"/>
        <w:rPr>
          <w:sz w:val="22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9550CA" w:rsidRDefault="009550CA" w:rsidP="009550CA">
      <w:pPr>
        <w:jc w:val="center"/>
        <w:rPr>
          <w:sz w:val="28"/>
          <w:szCs w:val="28"/>
          <w:u w:val="single"/>
        </w:rPr>
      </w:pPr>
      <w:r w:rsidRPr="00DE4588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</w:t>
      </w:r>
      <w:proofErr w:type="gramStart"/>
      <w:r w:rsidRPr="00DE4588">
        <w:rPr>
          <w:sz w:val="28"/>
          <w:szCs w:val="28"/>
          <w:u w:val="single"/>
        </w:rPr>
        <w:t>в</w:t>
      </w:r>
      <w:proofErr w:type="gramEnd"/>
      <w:r w:rsidRPr="00DE4588">
        <w:rPr>
          <w:sz w:val="28"/>
          <w:szCs w:val="28"/>
          <w:u w:val="single"/>
        </w:rPr>
        <w:t xml:space="preserve"> </w:t>
      </w:r>
    </w:p>
    <w:p w:rsidR="009550CA" w:rsidRDefault="009550CA" w:rsidP="009550CA">
      <w:pPr>
        <w:jc w:val="center"/>
        <w:rPr>
          <w:sz w:val="22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9550CA" w:rsidRDefault="009550CA" w:rsidP="009550CA">
      <w:pPr>
        <w:jc w:val="center"/>
        <w:rPr>
          <w:sz w:val="28"/>
          <w:szCs w:val="28"/>
          <w:u w:val="single"/>
        </w:rPr>
      </w:pPr>
      <w:r w:rsidRPr="00DE4588">
        <w:rPr>
          <w:sz w:val="28"/>
          <w:szCs w:val="28"/>
          <w:u w:val="single"/>
        </w:rPr>
        <w:lastRenderedPageBreak/>
        <w:t xml:space="preserve"> </w:t>
      </w:r>
      <w:proofErr w:type="gramStart"/>
      <w:r w:rsidRPr="00DE4588">
        <w:rPr>
          <w:sz w:val="28"/>
          <w:szCs w:val="28"/>
          <w:u w:val="single"/>
        </w:rPr>
        <w:t>границах</w:t>
      </w:r>
      <w:proofErr w:type="gramEnd"/>
      <w:r w:rsidRPr="00DE4588">
        <w:rPr>
          <w:sz w:val="28"/>
          <w:szCs w:val="28"/>
          <w:u w:val="single"/>
        </w:rPr>
        <w:t xml:space="preserve"> кадастрового квартала 22:63:040428, ограниченного улицей </w:t>
      </w:r>
    </w:p>
    <w:p w:rsidR="009550CA" w:rsidRDefault="009550CA" w:rsidP="009550CA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9550CA" w:rsidRDefault="009550CA" w:rsidP="009550CA">
      <w:pPr>
        <w:jc w:val="center"/>
        <w:rPr>
          <w:sz w:val="28"/>
          <w:szCs w:val="28"/>
          <w:u w:val="single"/>
        </w:rPr>
      </w:pPr>
      <w:r w:rsidRPr="00DE4588">
        <w:rPr>
          <w:sz w:val="28"/>
          <w:szCs w:val="28"/>
          <w:u w:val="single"/>
        </w:rPr>
        <w:t xml:space="preserve">Молодежной, проспектом Красноармейским, улицей </w:t>
      </w:r>
      <w:proofErr w:type="spellStart"/>
      <w:r w:rsidRPr="00DE4588">
        <w:rPr>
          <w:sz w:val="28"/>
          <w:szCs w:val="28"/>
          <w:u w:val="single"/>
        </w:rPr>
        <w:t>Папанинцев</w:t>
      </w:r>
      <w:proofErr w:type="spellEnd"/>
      <w:r w:rsidRPr="00DE4588">
        <w:rPr>
          <w:sz w:val="28"/>
          <w:szCs w:val="28"/>
          <w:u w:val="single"/>
        </w:rPr>
        <w:t xml:space="preserve"> и проспектом </w:t>
      </w:r>
    </w:p>
    <w:p w:rsidR="009550CA" w:rsidRDefault="009550CA" w:rsidP="009550CA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9550CA" w:rsidRDefault="009550CA" w:rsidP="009550CA">
      <w:pPr>
        <w:jc w:val="center"/>
        <w:rPr>
          <w:sz w:val="22"/>
          <w:szCs w:val="22"/>
        </w:rPr>
      </w:pPr>
      <w:r w:rsidRPr="00DE4588">
        <w:rPr>
          <w:sz w:val="28"/>
          <w:szCs w:val="28"/>
          <w:u w:val="single"/>
        </w:rPr>
        <w:t xml:space="preserve">Социалистическим в </w:t>
      </w:r>
      <w:proofErr w:type="spellStart"/>
      <w:r w:rsidRPr="00DE4588">
        <w:rPr>
          <w:sz w:val="28"/>
          <w:szCs w:val="28"/>
          <w:u w:val="single"/>
        </w:rPr>
        <w:t>г</w:t>
      </w:r>
      <w:proofErr w:type="gramStart"/>
      <w:r w:rsidRPr="00DE4588">
        <w:rPr>
          <w:sz w:val="28"/>
          <w:szCs w:val="28"/>
          <w:u w:val="single"/>
        </w:rPr>
        <w:t>.Б</w:t>
      </w:r>
      <w:proofErr w:type="gramEnd"/>
      <w:r w:rsidRPr="00DE4588">
        <w:rPr>
          <w:sz w:val="28"/>
          <w:szCs w:val="28"/>
          <w:u w:val="single"/>
        </w:rPr>
        <w:t>арнауле</w:t>
      </w:r>
      <w:proofErr w:type="spellEnd"/>
      <w:r w:rsidRPr="00DE4588">
        <w:rPr>
          <w:sz w:val="28"/>
          <w:szCs w:val="28"/>
          <w:u w:val="single"/>
        </w:rPr>
        <w:t xml:space="preserve"> (квартал 288), в отношении земельного участка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550CA" w:rsidRDefault="009550CA" w:rsidP="009550CA">
      <w:pPr>
        <w:jc w:val="center"/>
        <w:rPr>
          <w:sz w:val="28"/>
          <w:szCs w:val="28"/>
          <w:u w:val="single"/>
        </w:rPr>
      </w:pPr>
      <w:r w:rsidRPr="00DE4588">
        <w:rPr>
          <w:sz w:val="28"/>
          <w:szCs w:val="28"/>
          <w:u w:val="single"/>
        </w:rPr>
        <w:t>по адресу: улица Молодежная, 21а</w:t>
      </w:r>
      <w:r>
        <w:rPr>
          <w:sz w:val="28"/>
          <w:szCs w:val="28"/>
          <w:u w:val="single"/>
        </w:rPr>
        <w:t xml:space="preserve">, с учетом </w:t>
      </w:r>
      <w:proofErr w:type="gramStart"/>
      <w:r>
        <w:rPr>
          <w:sz w:val="28"/>
          <w:szCs w:val="28"/>
          <w:u w:val="single"/>
        </w:rPr>
        <w:t>поступивших</w:t>
      </w:r>
      <w:proofErr w:type="gramEnd"/>
    </w:p>
    <w:p w:rsidR="009550CA" w:rsidRDefault="009550CA" w:rsidP="009550C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9550CA" w:rsidRPr="0052760E" w:rsidRDefault="009550CA" w:rsidP="009550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9550CA" w:rsidRPr="008F27B8" w:rsidRDefault="009550CA" w:rsidP="009550CA">
      <w:pPr>
        <w:jc w:val="center"/>
        <w:rPr>
          <w:sz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sz w:val="22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9550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9550CA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50CA" w:rsidRDefault="009550CA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9550CA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A04344" w:rsidSect="009550CA">
      <w:pgSz w:w="11906" w:h="16838"/>
      <w:pgMar w:top="1134" w:right="567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50" w:rsidRDefault="00D52B50" w:rsidP="00EF7522">
      <w:r>
        <w:separator/>
      </w:r>
    </w:p>
  </w:endnote>
  <w:endnote w:type="continuationSeparator" w:id="0">
    <w:p w:rsidR="00D52B50" w:rsidRDefault="00D52B50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50" w:rsidRDefault="00D52B50" w:rsidP="00EF7522">
      <w:r>
        <w:separator/>
      </w:r>
    </w:p>
  </w:footnote>
  <w:footnote w:type="continuationSeparator" w:id="0">
    <w:p w:rsidR="00D52B50" w:rsidRDefault="00D52B50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6EC5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2AB3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550CA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B52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2B50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3269-F016-4C07-846F-E4CF6B04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2021-02-02T02:39:00Z</cp:lastPrinted>
  <dcterms:created xsi:type="dcterms:W3CDTF">2021-01-25T03:45:00Z</dcterms:created>
  <dcterms:modified xsi:type="dcterms:W3CDTF">2021-02-02T02:45:00Z</dcterms:modified>
</cp:coreProperties>
</file>