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B1D9C">
        <w:rPr>
          <w:rFonts w:ascii="Times New Roman" w:hAnsi="Times New Roman"/>
          <w:color w:val="000000"/>
          <w:sz w:val="28"/>
          <w:szCs w:val="28"/>
          <w:u w:val="single"/>
        </w:rPr>
        <w:t>Кузнецовой Т.Н., Кузнецовой Е.А., Королевой Е.А.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улица                       Промышленная, 174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B1D9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B1D9C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B1D9C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1D9C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1D9C">
        <w:rPr>
          <w:rFonts w:ascii="Times New Roman" w:hAnsi="Times New Roman"/>
          <w:sz w:val="28"/>
          <w:szCs w:val="28"/>
          <w:u w:val="single"/>
        </w:rPr>
        <w:t>07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B1D9C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2898-884D-4B5C-9187-E7375C47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2022-03-25T04:55:00Z</cp:lastPrinted>
  <dcterms:created xsi:type="dcterms:W3CDTF">2022-03-25T04:55:00Z</dcterms:created>
  <dcterms:modified xsi:type="dcterms:W3CDTF">2022-03-25T04:55:00Z</dcterms:modified>
</cp:coreProperties>
</file>