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82D5A" w:rsidRDefault="00554739" w:rsidP="00782D5A">
      <w:pPr>
        <w:pStyle w:val="a4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A1042">
        <w:rPr>
          <w:rFonts w:ascii="Times New Roman" w:hAnsi="Times New Roman"/>
          <w:color w:val="000000"/>
          <w:sz w:val="28"/>
          <w:szCs w:val="28"/>
          <w:u w:val="single"/>
        </w:rPr>
        <w:t>Антоновой С.Б.</w:t>
      </w:r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D1D94" w:rsidRPr="006D1D94" w:rsidRDefault="006D1D94" w:rsidP="00782D5A">
      <w:pPr>
        <w:pStyle w:val="a4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6408E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1A1042">
        <w:rPr>
          <w:rFonts w:ascii="Times New Roman" w:hAnsi="Times New Roman" w:cs="Times New Roman"/>
          <w:sz w:val="28"/>
          <w:szCs w:val="28"/>
          <w:u w:val="single"/>
        </w:rPr>
        <w:t>Тачалова</w:t>
      </w:r>
      <w:proofErr w:type="spellEnd"/>
      <w:r w:rsidR="001A1042">
        <w:rPr>
          <w:rFonts w:ascii="Times New Roman" w:hAnsi="Times New Roman" w:cs="Times New Roman"/>
          <w:sz w:val="28"/>
          <w:szCs w:val="28"/>
          <w:u w:val="single"/>
        </w:rPr>
        <w:t>, 144</w:t>
      </w:r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1A1042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A10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A1042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A1042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9173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9173D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1EB">
        <w:rPr>
          <w:rFonts w:ascii="Times New Roman" w:hAnsi="Times New Roman"/>
          <w:sz w:val="28"/>
          <w:szCs w:val="28"/>
          <w:u w:val="single"/>
        </w:rPr>
        <w:t>1</w:t>
      </w:r>
      <w:r w:rsidR="001A1042">
        <w:rPr>
          <w:rFonts w:ascii="Times New Roman" w:hAnsi="Times New Roman"/>
          <w:sz w:val="28"/>
          <w:szCs w:val="28"/>
          <w:u w:val="single"/>
        </w:rPr>
        <w:t>2</w:t>
      </w:r>
      <w:r w:rsidR="009801EB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01E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A1042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4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1042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173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8EA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2D5A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01EB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07F2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BE0D-1AAC-401D-A68C-791BF9F5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2022-06-30T06:38:00Z</cp:lastPrinted>
  <dcterms:created xsi:type="dcterms:W3CDTF">2022-03-25T04:55:00Z</dcterms:created>
  <dcterms:modified xsi:type="dcterms:W3CDTF">2022-07-04T02:18:00Z</dcterms:modified>
</cp:coreProperties>
</file>