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1E7F5A" w:rsidRDefault="00754A2A" w:rsidP="001E7F5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E7F5A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1E7F5A" w:rsidRPr="00953F7B">
        <w:rPr>
          <w:color w:val="000000"/>
          <w:sz w:val="28"/>
          <w:szCs w:val="28"/>
          <w:u w:val="single"/>
        </w:rPr>
        <w:t>улица Партизанская, 134, в части максимального процента застройки в границах земельного участка – 66,5%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E15A1">
        <w:rPr>
          <w:sz w:val="28"/>
          <w:szCs w:val="28"/>
          <w:u w:val="single"/>
        </w:rPr>
        <w:t>8</w:t>
      </w:r>
      <w:r w:rsidR="001E7F5A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1E7F5A" w:rsidRDefault="00D879C8" w:rsidP="001E7F5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E7F5A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1E7F5A" w:rsidRPr="00953F7B">
        <w:rPr>
          <w:color w:val="000000"/>
          <w:sz w:val="28"/>
          <w:szCs w:val="28"/>
          <w:u w:val="single"/>
        </w:rPr>
        <w:t>улица Партизанская, 134, в части максимального процента застройки в границах земельного участка – 66,5%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E7F5A" w:rsidRPr="00090CB9" w:rsidRDefault="001E7F5A" w:rsidP="001E7F5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решения о предоставлении разрешения на </w:t>
      </w:r>
      <w:r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Pr="00090CB9">
        <w:rPr>
          <w:sz w:val="22"/>
        </w:rPr>
        <w:t>аргументированные рекомендации</w:t>
      </w:r>
    </w:p>
    <w:p w:rsidR="001E7F5A" w:rsidRPr="00090CB9" w:rsidRDefault="001E7F5A" w:rsidP="001E7F5A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E7F5A" w:rsidRDefault="001E7F5A" w:rsidP="001E7F5A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1E7F5A" w:rsidRDefault="001E7F5A" w:rsidP="001E7F5A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1E7F5A" w:rsidRDefault="001E7F5A" w:rsidP="001E7F5A">
      <w:pPr>
        <w:jc w:val="center"/>
        <w:rPr>
          <w:color w:val="000000"/>
          <w:sz w:val="28"/>
          <w:szCs w:val="28"/>
          <w:u w:val="single"/>
        </w:rPr>
      </w:pPr>
      <w:r w:rsidRPr="00953F7B">
        <w:rPr>
          <w:color w:val="000000"/>
          <w:sz w:val="28"/>
          <w:szCs w:val="28"/>
          <w:u w:val="single"/>
        </w:rPr>
        <w:t>улица Партизанская, 134</w:t>
      </w:r>
      <w:r>
        <w:rPr>
          <w:color w:val="000000"/>
          <w:sz w:val="28"/>
          <w:szCs w:val="28"/>
          <w:u w:val="single"/>
        </w:rPr>
        <w:t xml:space="preserve">, </w:t>
      </w:r>
      <w:r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 xml:space="preserve">увеличения </w:t>
      </w:r>
      <w:r w:rsidRPr="00451380">
        <w:rPr>
          <w:color w:val="000000"/>
          <w:sz w:val="28"/>
          <w:szCs w:val="28"/>
          <w:u w:val="single"/>
        </w:rPr>
        <w:t xml:space="preserve">максимального процента </w:t>
      </w:r>
    </w:p>
    <w:p w:rsidR="001E7F5A" w:rsidRDefault="001E7F5A" w:rsidP="001E7F5A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D55D23">
        <w:rPr>
          <w:sz w:val="22"/>
          <w:szCs w:val="22"/>
        </w:rPr>
        <w:t xml:space="preserve"> </w:t>
      </w:r>
    </w:p>
    <w:p w:rsidR="001E7F5A" w:rsidRPr="00631592" w:rsidRDefault="001E7F5A" w:rsidP="001E7F5A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застройки в границах </w:t>
      </w:r>
      <w:r>
        <w:rPr>
          <w:color w:val="000000"/>
          <w:sz w:val="28"/>
          <w:szCs w:val="28"/>
          <w:u w:val="single"/>
        </w:rPr>
        <w:t>земельного участка – 66,5 %,</w:t>
      </w:r>
      <w:r w:rsidRPr="000870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по </w:t>
      </w:r>
    </w:p>
    <w:p w:rsidR="001E7F5A" w:rsidRDefault="001E7F5A" w:rsidP="001E7F5A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:rsidR="001E7F5A" w:rsidRDefault="001E7F5A" w:rsidP="001E7F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 и застройке, в связи с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письменных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замечаний </w:t>
      </w:r>
    </w:p>
    <w:p w:rsidR="001E7F5A" w:rsidRPr="00090CB9" w:rsidRDefault="001E7F5A" w:rsidP="001E7F5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1E7F5A" w:rsidRDefault="001E7F5A" w:rsidP="001E7F5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 по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указанному 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1E7F5A" w:rsidRDefault="001E7F5A" w:rsidP="001E7F5A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D7C30" w:rsidRDefault="000D7C30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D7C30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E7F5A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0D38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15A1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37128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847D-B3FF-4F23-B9BC-405B263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95B7-A176-4025-A0D9-69810141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2022-10-03T02:10:00Z</cp:lastPrinted>
  <dcterms:created xsi:type="dcterms:W3CDTF">2022-10-03T02:10:00Z</dcterms:created>
  <dcterms:modified xsi:type="dcterms:W3CDTF">2022-10-03T02:10:00Z</dcterms:modified>
</cp:coreProperties>
</file>